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8" w:lineRule="exact"/>
        <w:rPr>
          <w:sz w:val="24"/>
          <w:szCs w:val="24"/>
          <w:color w:val="auto"/>
        </w:rPr>
      </w:pPr>
    </w:p>
    <w:p>
      <w:pPr>
        <w:ind w:left="3660" w:right="1700" w:hanging="3652"/>
        <w:spacing w:after="0" w:line="262" w:lineRule="auto"/>
        <w:tabs>
          <w:tab w:leader="none" w:pos="372"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17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3677285</wp:posOffset>
            </wp:positionH>
            <wp:positionV relativeFrom="paragraph">
              <wp:posOffset>-20320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30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3480" w:type="dxa"/>
            <w:vAlign w:val="bottom"/>
          </w:tcPr>
          <w:p>
            <w:pPr>
              <w:jc w:val="center"/>
              <w:ind w:left="1759"/>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8"/>
        </w:trPr>
        <w:tc>
          <w:tcPr>
            <w:tcW w:w="4300" w:type="dxa"/>
            <w:vAlign w:val="bottom"/>
          </w:tcPr>
          <w:p>
            <w:pPr>
              <w:jc w:val="center"/>
              <w:ind w:right="1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80" w:type="dxa"/>
            <w:vAlign w:val="bottom"/>
          </w:tcPr>
          <w:p>
            <w:pPr>
              <w:jc w:val="center"/>
              <w:ind w:left="17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80" w:type="dxa"/>
            <w:vAlign w:val="bottom"/>
          </w:tcPr>
          <w:p>
            <w:pPr>
              <w:jc w:val="center"/>
              <w:ind w:left="17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rPr>
              <w:t>8th Floor, One Central Plaza,</w:t>
            </w:r>
          </w:p>
        </w:tc>
        <w:tc>
          <w:tcPr>
            <w:tcW w:w="3480" w:type="dxa"/>
            <w:vAlign w:val="bottom"/>
          </w:tcPr>
          <w:p>
            <w:pPr>
              <w:jc w:val="center"/>
              <w:ind w:left="1759"/>
              <w:spacing w:after="0"/>
              <w:rPr>
                <w:sz w:val="20"/>
                <w:szCs w:val="20"/>
                <w:color w:val="auto"/>
              </w:rPr>
            </w:pPr>
            <w:r>
              <w:rPr>
                <w:rFonts w:ascii="Times New Roman" w:cs="Times New Roman" w:eastAsia="Times New Roman" w:hAnsi="Times New Roman"/>
                <w:sz w:val="18"/>
                <w:szCs w:val="18"/>
                <w:b w:val="1"/>
                <w:bCs w:val="1"/>
                <w:color w:val="auto"/>
                <w:w w:val="99"/>
              </w:rPr>
              <w:t>Dublin 2, Co. Dublin,</w:t>
            </w:r>
          </w:p>
        </w:tc>
      </w:tr>
      <w:tr>
        <w:trPr>
          <w:trHeight w:val="214"/>
        </w:trPr>
        <w:tc>
          <w:tcPr>
            <w:tcW w:w="4300" w:type="dxa"/>
            <w:vAlign w:val="bottom"/>
          </w:tcPr>
          <w:p>
            <w:pPr>
              <w:jc w:val="center"/>
              <w:ind w:right="1739"/>
              <w:spacing w:after="0"/>
              <w:rPr>
                <w:sz w:val="20"/>
                <w:szCs w:val="20"/>
                <w:color w:val="auto"/>
              </w:rPr>
            </w:pPr>
            <w:r>
              <w:rPr>
                <w:rFonts w:ascii="Times New Roman" w:cs="Times New Roman" w:eastAsia="Times New Roman" w:hAnsi="Times New Roman"/>
                <w:sz w:val="18"/>
                <w:szCs w:val="18"/>
                <w:b w:val="1"/>
                <w:bCs w:val="1"/>
                <w:color w:val="auto"/>
              </w:rPr>
              <w:t>Dame Street</w:t>
            </w:r>
          </w:p>
        </w:tc>
        <w:tc>
          <w:tcPr>
            <w:tcW w:w="3480" w:type="dxa"/>
            <w:vAlign w:val="bottom"/>
          </w:tcPr>
          <w:p>
            <w:pPr>
              <w:jc w:val="center"/>
              <w:ind w:left="1739"/>
              <w:spacing w:after="0"/>
              <w:rPr>
                <w:sz w:val="20"/>
                <w:szCs w:val="20"/>
                <w:color w:val="auto"/>
              </w:rPr>
            </w:pPr>
            <w:r>
              <w:rPr>
                <w:rFonts w:ascii="Times New Roman" w:cs="Times New Roman" w:eastAsia="Times New Roman" w:hAnsi="Times New Roman"/>
                <w:sz w:val="18"/>
                <w:szCs w:val="18"/>
                <w:b w:val="1"/>
                <w:bCs w:val="1"/>
                <w:color w:val="auto"/>
                <w:w w:val="98"/>
              </w:rPr>
              <w:t>D02 K7K5, Ireland</w:t>
            </w:r>
          </w:p>
        </w:tc>
      </w:tr>
      <w:tr>
        <w:trPr>
          <w:trHeight w:val="190"/>
        </w:trPr>
        <w:tc>
          <w:tcPr>
            <w:tcW w:w="430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80" w:type="dxa"/>
            <w:vAlign w:val="bottom"/>
          </w:tcPr>
          <w:p>
            <w:pPr>
              <w:jc w:val="center"/>
              <w:ind w:left="17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102235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40"/>
        </w:trPr>
        <w:tc>
          <w:tcPr>
            <w:tcW w:w="50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0"/>
        </w:trPr>
        <w:tc>
          <w:tcPr>
            <w:tcW w:w="508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12"/>
        </w:trPr>
        <w:tc>
          <w:tcPr>
            <w:tcW w:w="5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American Depositary Shares (ADS(s)), each ADS</w:t>
            </w:r>
          </w:p>
        </w:tc>
        <w:tc>
          <w:tcPr>
            <w:tcW w:w="214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r>
      <w:tr>
        <w:trPr>
          <w:trHeight w:val="203"/>
        </w:trPr>
        <w:tc>
          <w:tcPr>
            <w:tcW w:w="5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representing the right to receive twenty (20) Ordinary Shares of</w:t>
            </w:r>
          </w:p>
        </w:tc>
        <w:tc>
          <w:tcPr>
            <w:tcW w:w="214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r>
      <w:tr>
        <w:trPr>
          <w:trHeight w:val="210"/>
        </w:trPr>
        <w:tc>
          <w:tcPr>
            <w:tcW w:w="5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Amarin Corporation plc</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AMRN</w:t>
            </w:r>
          </w:p>
        </w:tc>
        <w:tc>
          <w:tcPr>
            <w:tcW w:w="4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33"/>
        </w:trPr>
        <w:tc>
          <w:tcPr>
            <w:tcW w:w="508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7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421,464,785 Ordinary Shares, 50 pence par value per share, were outstanding as of October 23, 2026, including 20,634,070 Ordinary Shares held as American Depositary Shares (ADSs), each representing 20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0"/>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740" w:type="dxa"/>
            <w:vAlign w:val="bottom"/>
            <w:gridSpan w:val="12"/>
          </w:tcPr>
          <w:p>
            <w:pPr>
              <w:jc w:val="center"/>
              <w:ind w:right="3260"/>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020" w:type="dxa"/>
            <w:vAlign w:val="bottom"/>
          </w:tcPr>
          <w:p>
            <w:pPr>
              <w:spacing w:after="0"/>
              <w:rPr>
                <w:sz w:val="24"/>
                <w:szCs w:val="24"/>
                <w:color w:val="auto"/>
              </w:rPr>
            </w:pPr>
          </w:p>
        </w:tc>
      </w:tr>
      <w:tr>
        <w:trPr>
          <w:trHeight w:val="340"/>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2480" w:type="dxa"/>
            <w:vAlign w:val="bottom"/>
            <w:tcBorders>
              <w:top w:val="single" w:sz="8" w:color="0000FF"/>
            </w:tcBorders>
            <w:gridSpan w:val="6"/>
          </w:tcPr>
          <w:p>
            <w:pPr>
              <w:spacing w:after="0"/>
              <w:rPr>
                <w:sz w:val="24"/>
                <w:szCs w:val="24"/>
                <w:color w:val="auto"/>
              </w:rPr>
            </w:pPr>
          </w:p>
        </w:tc>
        <w:tc>
          <w:tcPr>
            <w:tcW w:w="326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2026 and December 31, 2025</w:t>
            </w: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2026 and 2025</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Changes in Stockholders’ Equity for the nine months ended September 30, 2026</w:t>
            </w:r>
          </w:p>
        </w:tc>
        <w:tc>
          <w:tcPr>
            <w:tcW w:w="2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and 2025</w:t>
            </w:r>
          </w:p>
        </w:tc>
        <w:tc>
          <w:tcPr>
            <w:tcW w:w="20" w:type="dxa"/>
            <w:vAlign w:val="bottom"/>
            <w:tcBorders>
              <w:bottom w:val="single" w:sz="8" w:color="0000EE"/>
            </w:tcBorders>
          </w:tcPr>
          <w:p>
            <w:pPr>
              <w:spacing w:after="0"/>
              <w:rPr>
                <w:sz w:val="17"/>
                <w:szCs w:val="17"/>
                <w:color w:val="auto"/>
              </w:rPr>
            </w:pPr>
          </w:p>
        </w:tc>
        <w:tc>
          <w:tcPr>
            <w:tcW w:w="8000" w:type="dxa"/>
            <w:vAlign w:val="bottom"/>
            <w:gridSpan w:val="18"/>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2026 and 2025</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2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6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20" w:type="dxa"/>
            <w:vAlign w:val="bottom"/>
            <w:gridSpan w:val="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580" w:type="dxa"/>
            <w:vAlign w:val="bottom"/>
            <w:gridSpan w:val="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8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318"/>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5740" w:type="dxa"/>
            <w:vAlign w:val="bottom"/>
            <w:gridSpan w:val="12"/>
          </w:tcPr>
          <w:p>
            <w:pPr>
              <w:jc w:val="center"/>
              <w:ind w:right="324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1020" w:type="dxa"/>
            <w:vAlign w:val="bottom"/>
          </w:tcPr>
          <w:p>
            <w:pPr>
              <w:spacing w:after="0"/>
              <w:rPr>
                <w:sz w:val="24"/>
                <w:szCs w:val="24"/>
                <w:color w:val="auto"/>
              </w:rPr>
            </w:pPr>
          </w:p>
        </w:tc>
      </w:tr>
      <w:tr>
        <w:trPr>
          <w:trHeight w:val="318"/>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2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300" w:type="dxa"/>
            <w:vAlign w:val="bottom"/>
            <w:tcBorders>
              <w:top w:val="single" w:sz="8" w:color="0000FF"/>
            </w:tcBorders>
            <w:gridSpan w:val="4"/>
          </w:tcPr>
          <w:p>
            <w:pPr>
              <w:spacing w:after="0"/>
              <w:rPr>
                <w:sz w:val="24"/>
                <w:szCs w:val="24"/>
                <w:color w:val="auto"/>
              </w:rPr>
            </w:pPr>
          </w:p>
        </w:tc>
        <w:tc>
          <w:tcPr>
            <w:tcW w:w="334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7560" w:type="dxa"/>
            <w:vAlign w:val="bottom"/>
            <w:gridSpan w:val="1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540" w:type="dxa"/>
            <w:vAlign w:val="bottom"/>
            <w:gridSpan w:val="8"/>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50"/>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8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580" w:type="dxa"/>
            <w:vAlign w:val="bottom"/>
            <w:gridSpan w:val="1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318"/>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669"/>
        </w:trPr>
        <w:tc>
          <w:tcPr>
            <w:tcW w:w="11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Times New Roman" w:cs="Times New Roman" w:eastAsia="Times New Roman" w:hAnsi="Times New Roman"/>
                <w:sz w:val="18"/>
                <w:szCs w:val="18"/>
                <w:color w:val="auto"/>
                <w:w w:val="88"/>
              </w:rPr>
              <w:t>2</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5"/>
                <w:szCs w:val="15"/>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156,512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134,660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166,867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167,929</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111,573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126,832</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158,850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195,910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24,350</w:t>
            </w:r>
          </w:p>
        </w:tc>
        <w:tc>
          <w:tcPr>
            <w:tcW w:w="100" w:type="dxa"/>
            <w:vAlign w:val="bottom"/>
          </w:tcPr>
          <w:p>
            <w:pPr>
              <w:spacing w:after="0"/>
              <w:rPr>
                <w:sz w:val="18"/>
                <w:szCs w:val="18"/>
                <w:color w:val="auto"/>
              </w:rPr>
            </w:pPr>
          </w:p>
        </w:tc>
      </w:tr>
      <w:tr>
        <w:trPr>
          <w:trHeight w:val="210"/>
        </w:trPr>
        <w:tc>
          <w:tcPr>
            <w:tcW w:w="7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612,875</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649,882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Intangible asset, net</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100" w:type="dxa"/>
            <w:vAlign w:val="bottom"/>
          </w:tcPr>
          <w:p>
            <w:pPr>
              <w:spacing w:after="0"/>
              <w:rPr>
                <w:sz w:val="18"/>
                <w:szCs w:val="18"/>
                <w:color w:val="auto"/>
              </w:rPr>
            </w:pPr>
          </w:p>
        </w:tc>
      </w:tr>
      <w:tr>
        <w:trPr>
          <w:trHeight w:val="250"/>
        </w:trPr>
        <w:tc>
          <w:tcPr>
            <w:tcW w:w="75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634,081</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670,775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5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40,429</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45,355</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134,707</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175,136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194,459</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189,669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211,494</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Ordinary Shares, £0.50 par value per share, unlimited authorized; 438,870,579 shares issued,</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421,632,722 shares outstanding as of September 30, 2026; 429,847,579 shares issued,</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416,214,102 shares outstanding as of December 31, 2025</w:t>
            </w: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316,272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310,184</w:t>
            </w:r>
          </w:p>
        </w:tc>
        <w:tc>
          <w:tcPr>
            <w:tcW w:w="100" w:type="dxa"/>
            <w:vAlign w:val="bottom"/>
            <w:shd w:val="clear" w:color="auto" w:fill="CFF0FC"/>
          </w:tcPr>
          <w:p>
            <w:pPr>
              <w:spacing w:after="0"/>
              <w:rPr>
                <w:sz w:val="20"/>
                <w:szCs w:val="20"/>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1,923,521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1,923,801</w:t>
            </w:r>
          </w:p>
        </w:tc>
        <w:tc>
          <w:tcPr>
            <w:tcW w:w="100" w:type="dxa"/>
            <w:vAlign w:val="bottom"/>
          </w:tcPr>
          <w:p>
            <w:pPr>
              <w:spacing w:after="0"/>
              <w:rPr>
                <w:sz w:val="18"/>
                <w:szCs w:val="18"/>
                <w:color w:val="auto"/>
              </w:rPr>
            </w:pPr>
          </w:p>
        </w:tc>
      </w:tr>
      <w:tr>
        <w:trPr>
          <w:trHeight w:val="198"/>
        </w:trPr>
        <w:tc>
          <w:tcPr>
            <w:tcW w:w="75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Treasury stock; 17,237,857 shares as of September 30, 2026; 13,633,477 shares as of December</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31, 2025</w:t>
            </w:r>
          </w:p>
        </w:tc>
        <w:tc>
          <w:tcPr>
            <w:tcW w:w="1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(70,120)</w:t>
            </w:r>
          </w:p>
        </w:tc>
        <w:tc>
          <w:tcPr>
            <w:tcW w:w="2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(67,360)</w:t>
            </w: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(1,725,261)</w:t>
            </w: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(1,707,344)</w:t>
            </w:r>
          </w:p>
        </w:tc>
      </w:tr>
      <w:tr>
        <w:trPr>
          <w:trHeight w:val="209"/>
        </w:trPr>
        <w:tc>
          <w:tcPr>
            <w:tcW w:w="7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444,412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634,081</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670,775</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-3411220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-2845435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-2828290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-2270760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-1704975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36,890</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48,558</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119,293</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revenue, net</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49,670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126,893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48,939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97,699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Restructuring</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18,541</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33,311</w:t>
            </w: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74,643</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141,544</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(11,103)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(25,704)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 before taxes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(7,738)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(17,917)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Earnings (loss) per Ordinary Share:</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Ordinary Shares: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417,766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415,531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420,178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427,856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420,178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-2411095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-2411095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-2411095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-2411095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-1854200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-1854200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-1854200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-1854200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-1288415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-1288415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-1288415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-1288415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-1005205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-1005205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-1005205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-1005205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473075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81"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60" w:type="dxa"/>
            <w:vAlign w:val="bottom"/>
          </w:tcPr>
          <w:p>
            <w:pPr>
              <w:spacing w:after="0"/>
              <w:rPr>
                <w:sz w:val="12"/>
                <w:szCs w:val="12"/>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2"/>
                <w:szCs w:val="12"/>
                <w:color w:val="auto"/>
              </w:rPr>
            </w:pPr>
          </w:p>
        </w:tc>
        <w:tc>
          <w:tcPr>
            <w:tcW w:w="78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429,847,579</w:t>
            </w:r>
          </w:p>
        </w:tc>
        <w:tc>
          <w:tcPr>
            <w:tcW w:w="1580" w:type="dxa"/>
            <w:vAlign w:val="bottom"/>
            <w:gridSpan w:val="3"/>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(13,633,477)</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310,184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1,923,801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(67,360)</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(1,707,344)</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459,281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5,698,060</w:t>
            </w:r>
          </w:p>
        </w:tc>
        <w:tc>
          <w:tcPr>
            <w:tcW w:w="15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(2,317,560)</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(3,878)</w:t>
            </w: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(1,687)</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(1,687)</w:t>
            </w: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(10,512)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(10,512)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435,545,639</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(15,951,037)</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314,062</w:t>
            </w:r>
          </w:p>
        </w:tc>
        <w:tc>
          <w:tcPr>
            <w:tcW w:w="340" w:type="dxa"/>
            <w:vAlign w:val="bottom"/>
            <w:gridSpan w:val="2"/>
            <w:shd w:val="clear" w:color="auto" w:fill="CFF0FC"/>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1,922,254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(69,047)</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(1,717,856)</w:t>
            </w:r>
          </w:p>
        </w:tc>
        <w:tc>
          <w:tcPr>
            <w:tcW w:w="28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449,413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84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Issuance of common stock under employee</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vMerge w:val="restart"/>
          </w:tcPr>
          <w:p>
            <w:pPr>
              <w:spacing w:after="0"/>
              <w:rPr>
                <w:sz w:val="9"/>
                <w:szCs w:val="9"/>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81,320</w:t>
            </w:r>
          </w:p>
        </w:tc>
        <w:tc>
          <w:tcPr>
            <w:tcW w:w="24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vMerge w:val="restart"/>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vMerge w:val="restart"/>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11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697,240</w:t>
            </w:r>
          </w:p>
        </w:tc>
        <w:tc>
          <w:tcPr>
            <w:tcW w:w="1580" w:type="dxa"/>
            <w:vAlign w:val="bottom"/>
            <w:gridSpan w:val="3"/>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(329,140)</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(7,650)</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(7,650)</w:t>
            </w: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2026</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436,242,879</w:t>
            </w:r>
          </w:p>
        </w:tc>
        <w:tc>
          <w:tcPr>
            <w:tcW w:w="260" w:type="dxa"/>
            <w:vAlign w:val="bottom"/>
          </w:tcPr>
          <w:p>
            <w:pPr>
              <w:spacing w:after="0"/>
              <w:rPr>
                <w:sz w:val="12"/>
                <w:szCs w:val="12"/>
                <w:color w:val="auto"/>
              </w:rPr>
            </w:pPr>
          </w:p>
        </w:tc>
        <w:tc>
          <w:tcPr>
            <w:tcW w:w="13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(16,198,857)</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314,531</w:t>
            </w:r>
          </w:p>
        </w:tc>
        <w:tc>
          <w:tcPr>
            <w:tcW w:w="340" w:type="dxa"/>
            <w:vAlign w:val="bottom"/>
            <w:gridSpan w:val="2"/>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1,923,885</w:t>
            </w:r>
          </w:p>
        </w:tc>
        <w:tc>
          <w:tcPr>
            <w:tcW w:w="2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(69,294)</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(1,725,506)</w:t>
            </w:r>
          </w:p>
        </w:tc>
        <w:tc>
          <w:tcPr>
            <w:tcW w:w="2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443,616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2,627,700</w:t>
            </w:r>
          </w:p>
        </w:tc>
        <w:tc>
          <w:tcPr>
            <w:tcW w:w="1580" w:type="dxa"/>
            <w:vAlign w:val="bottom"/>
            <w:gridSpan w:val="3"/>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(1,039,000)</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1,741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(1,741)</w:t>
            </w: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(826)</w:t>
            </w: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(826)</w:t>
            </w: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for the period</w:t>
            </w: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438,870,579</w:t>
            </w:r>
          </w:p>
        </w:tc>
        <w:tc>
          <w:tcPr>
            <w:tcW w:w="260" w:type="dxa"/>
            <w:vAlign w:val="bottom"/>
          </w:tcPr>
          <w:p>
            <w:pPr>
              <w:spacing w:after="0"/>
              <w:rPr>
                <w:sz w:val="12"/>
                <w:szCs w:val="12"/>
                <w:color w:val="auto"/>
              </w:rPr>
            </w:pPr>
          </w:p>
        </w:tc>
        <w:tc>
          <w:tcPr>
            <w:tcW w:w="13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(17,237,857)</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316,272</w:t>
            </w:r>
          </w:p>
        </w:tc>
        <w:tc>
          <w:tcPr>
            <w:tcW w:w="340" w:type="dxa"/>
            <w:vAlign w:val="bottom"/>
            <w:gridSpan w:val="2"/>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1,923,521</w:t>
            </w:r>
          </w:p>
        </w:tc>
        <w:tc>
          <w:tcPr>
            <w:tcW w:w="2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(70,120)</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(1,725,261)</w:t>
            </w:r>
          </w:p>
        </w:tc>
        <w:tc>
          <w:tcPr>
            <w:tcW w:w="2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444,412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60" w:type="dxa"/>
            <w:vAlign w:val="bottom"/>
          </w:tcPr>
          <w:p>
            <w:pPr>
              <w:spacing w:after="0"/>
              <w:rPr>
                <w:sz w:val="12"/>
                <w:szCs w:val="12"/>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2"/>
                <w:szCs w:val="12"/>
                <w:color w:val="auto"/>
              </w:rPr>
            </w:pPr>
          </w:p>
        </w:tc>
        <w:tc>
          <w:tcPr>
            <w:tcW w:w="78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78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840" w:type="dxa"/>
            <w:vAlign w:val="bottom"/>
            <w:vMerge w:val="continue"/>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422,256,900</w:t>
            </w:r>
          </w:p>
        </w:tc>
        <w:tc>
          <w:tcPr>
            <w:tcW w:w="260" w:type="dxa"/>
            <w:vAlign w:val="bottom"/>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(10,672,049)</w:t>
            </w:r>
          </w:p>
        </w:tc>
        <w:tc>
          <w:tcPr>
            <w:tcW w:w="24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305,298</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1,914,750</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(65,326)</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(1,668,546)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486,176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4,585,679</w:t>
            </w:r>
          </w:p>
        </w:tc>
        <w:tc>
          <w:tcPr>
            <w:tcW w:w="1580" w:type="dxa"/>
            <w:vAlign w:val="bottom"/>
            <w:gridSpan w:val="3"/>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(1,805,341)</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(2,854)</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(1,119)</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(1,119)</w:t>
            </w: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4,327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(15,697)</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(15,697)</w:t>
            </w: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426,842,579</w:t>
            </w:r>
          </w:p>
        </w:tc>
        <w:tc>
          <w:tcPr>
            <w:tcW w:w="260" w:type="dxa"/>
            <w:vAlign w:val="bottom"/>
          </w:tcPr>
          <w:p>
            <w:pPr>
              <w:spacing w:after="0"/>
              <w:rPr>
                <w:sz w:val="12"/>
                <w:szCs w:val="12"/>
                <w:color w:val="auto"/>
              </w:rPr>
            </w:pPr>
          </w:p>
        </w:tc>
        <w:tc>
          <w:tcPr>
            <w:tcW w:w="13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(12,477,390)</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308,152</w:t>
            </w:r>
          </w:p>
        </w:tc>
        <w:tc>
          <w:tcPr>
            <w:tcW w:w="340" w:type="dxa"/>
            <w:vAlign w:val="bottom"/>
            <w:gridSpan w:val="2"/>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1,916,223</w:t>
            </w:r>
          </w:p>
        </w:tc>
        <w:tc>
          <w:tcPr>
            <w:tcW w:w="2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(66,445)</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(1,684,243)</w:t>
            </w:r>
          </w:p>
        </w:tc>
        <w:tc>
          <w:tcPr>
            <w:tcW w:w="2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473,687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8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2"/>
                <w:szCs w:val="12"/>
                <w:color w:val="auto"/>
              </w:rPr>
              <w:t>Issuance of common stock under employee</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97,520</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1100" w:type="dxa"/>
            <w:vAlign w:val="bottom"/>
            <w:vMerge w:val="continue"/>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1,872,240</w:t>
            </w:r>
          </w:p>
        </w:tc>
        <w:tc>
          <w:tcPr>
            <w:tcW w:w="15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(933,452)</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(1,269)</w:t>
            </w: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(14,139)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(14,139)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428,714,819</w:t>
            </w:r>
          </w:p>
        </w:tc>
        <w:tc>
          <w:tcPr>
            <w:tcW w:w="2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(13,313,322)</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309,421</w:t>
            </w:r>
          </w:p>
        </w:tc>
        <w:tc>
          <w:tcPr>
            <w:tcW w:w="340" w:type="dxa"/>
            <w:vAlign w:val="bottom"/>
            <w:gridSpan w:val="2"/>
            <w:shd w:val="clear" w:color="auto" w:fill="CFF0FC"/>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1,920,993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(67,108)</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(1,698,382)</w:t>
            </w:r>
          </w:p>
        </w:tc>
        <w:tc>
          <w:tcPr>
            <w:tcW w:w="28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464,924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882,600</w:t>
            </w:r>
          </w:p>
        </w:tc>
        <w:tc>
          <w:tcPr>
            <w:tcW w:w="260" w:type="dxa"/>
            <w:vAlign w:val="bottom"/>
          </w:tcPr>
          <w:p>
            <w:pPr>
              <w:spacing w:after="0"/>
              <w:rPr>
                <w:sz w:val="11"/>
                <w:szCs w:val="11"/>
                <w:color w:val="auto"/>
              </w:rPr>
            </w:pPr>
          </w:p>
        </w:tc>
        <w:tc>
          <w:tcPr>
            <w:tcW w:w="132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(318,120)</w:t>
            </w:r>
          </w:p>
        </w:tc>
        <w:tc>
          <w:tcPr>
            <w:tcW w:w="1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(598)</w:t>
            </w:r>
          </w:p>
        </w:tc>
        <w:tc>
          <w:tcPr>
            <w:tcW w:w="120" w:type="dxa"/>
            <w:vAlign w:val="bottom"/>
          </w:tcPr>
          <w:p>
            <w:pPr>
              <w:spacing w:after="0"/>
              <w:rPr>
                <w:sz w:val="11"/>
                <w:szCs w:val="11"/>
                <w:color w:val="auto"/>
              </w:rPr>
            </w:pPr>
          </w:p>
        </w:tc>
        <w:tc>
          <w:tcPr>
            <w:tcW w:w="98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1"/>
                <w:szCs w:val="11"/>
                <w:color w:val="auto"/>
              </w:rPr>
            </w:pPr>
          </w:p>
        </w:tc>
        <w:tc>
          <w:tcPr>
            <w:tcW w:w="104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(7,738)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(7,738)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429,597,419</w:t>
            </w:r>
          </w:p>
        </w:tc>
        <w:tc>
          <w:tcPr>
            <w:tcW w:w="2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(13,631,442)</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310,019</w:t>
            </w:r>
          </w:p>
        </w:tc>
        <w:tc>
          <w:tcPr>
            <w:tcW w:w="340" w:type="dxa"/>
            <w:vAlign w:val="bottom"/>
            <w:gridSpan w:val="2"/>
            <w:shd w:val="clear" w:color="auto" w:fill="CFF0FC"/>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1,922,351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(67,356)</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(1,706,120)</w:t>
            </w:r>
          </w:p>
        </w:tc>
        <w:tc>
          <w:tcPr>
            <w:tcW w:w="28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458,894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-2982595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-2965450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-2982595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-2965450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-2982595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-2965450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-2982595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-2965450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-2982595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-2965450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-2982595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-2965450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-2485390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-2485390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-2485390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-2485390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-2485390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-2485390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-2073910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-2073910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-2073910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-2073910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-2073910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-2073910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-1139825</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-1139825</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-1139825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-1139825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-1139825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-1139825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-1139825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-436245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-419735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-436245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-419735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-436245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-419735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-436245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-419735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-436245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-419735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-436245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-419735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-24765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-8255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-8255</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(17,917)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(37,574)</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loss to net cash provided by (used in) operating activities: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Accretion of investments</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(1,336)</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(3,019)</w:t>
            </w: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(5,030)</w:t>
            </w: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(17,260)</w:t>
            </w: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(2,606)</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receivable</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(19,323)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(2,122)</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70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(8,550)</w:t>
            </w:r>
          </w:p>
        </w:tc>
        <w:tc>
          <w:tcPr>
            <w:tcW w:w="0" w:type="dxa"/>
            <w:vAlign w:val="bottom"/>
          </w:tcPr>
          <w:p>
            <w:pPr>
              <w:spacing w:after="0"/>
              <w:rPr>
                <w:sz w:val="1"/>
                <w:szCs w:val="1"/>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Maturities of securities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151,980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Purchases of securities</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(149,583)</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(149,955)</w:t>
            </w:r>
          </w:p>
        </w:tc>
        <w:tc>
          <w:tcPr>
            <w:tcW w:w="0" w:type="dxa"/>
            <w:vAlign w:val="bottom"/>
          </w:tcPr>
          <w:p>
            <w:pPr>
              <w:spacing w:after="0"/>
              <w:rPr>
                <w:sz w:val="1"/>
                <w:szCs w:val="1"/>
                <w:color w:val="auto"/>
              </w:rPr>
            </w:pPr>
          </w:p>
        </w:tc>
      </w:tr>
      <w:tr>
        <w:trPr>
          <w:trHeight w:val="210"/>
        </w:trPr>
        <w:tc>
          <w:tcPr>
            <w:tcW w:w="70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Taxes paid related to stock-based awards</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(2,819)</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0"/>
        </w:trPr>
        <w:tc>
          <w:tcPr>
            <w:tcW w:w="70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(2,760)</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91"/>
        </w:trPr>
        <w:tc>
          <w:tcPr>
            <w:tcW w:w="70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INCREASE IN CASH AND CASH EQUIVALENTS AND</w:t>
            </w:r>
          </w:p>
        </w:tc>
        <w:tc>
          <w:tcPr>
            <w:tcW w:w="2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AND RESTRICTED CASH, BEGINNING OF</w:t>
            </w:r>
          </w:p>
        </w:tc>
        <w:tc>
          <w:tcPr>
            <w:tcW w:w="2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134,861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156,713</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123,103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2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Initial recognition of operating lease right-of-use asset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-2734310</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-2734310</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-2168525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-2168525</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-1602740</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-1602740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-762635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-745490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-762635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-745490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473075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6" w:name="page7"/>
    <w:bookmarkEnd w:id="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Nature of Business and Basis of Presentation</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Business</w:t>
      </w:r>
    </w:p>
    <w:p>
      <w:pPr>
        <w:spacing w:after="0" w:line="12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Amarin Corporation plc, or Amarin, or the Company, is a pharmaceutical company focused on the commercialization and development of therapeutics to improve cardiovascular, or CV, health and reduce CV risk. The Company is commercialized in the United States, or the U.S., under the brand name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or IPE). VASCEPA, under the brand name VAZKEPA, hereinafter along with VASCEPA, collectively referred to as VASCEPA is also commercialized in various other countries throughout the world.</w:t>
      </w:r>
    </w:p>
    <w:p>
      <w:pPr>
        <w:spacing w:after="0" w:line="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and seven commercial partners are in various stages: seeking or maintaining regulatory approval, obtaining government or private pricing and reimbursement, and/or commercialization. VASCEPA and VAZKEPA approvals and applications for approval globally reference either the U.S. New Drug Application, or NDA, core dossier or the European Medicines Agency, or EMA, core dossier.</w:t>
      </w:r>
    </w:p>
    <w:p>
      <w:pPr>
        <w:sectPr>
          <w:pgSz w:w="11900" w:h="16838" w:orient="portrait"/>
          <w:cols w:equalWidth="0" w:num="1">
            <w:col w:w="11160"/>
          </w:cols>
          <w:pgMar w:left="320" w:top="981" w:right="419" w:bottom="1440" w:gutter="0" w:footer="0" w:header="0"/>
        </w:sectPr>
      </w:pPr>
    </w:p>
    <w:p>
      <w:pPr>
        <w:spacing w:after="0" w:line="169"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VASCEPA (U.S. NDA Core Dossier)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029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95"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Amarin (US)</w:t>
      </w:r>
    </w:p>
    <w:p>
      <w:pPr>
        <w:spacing w:after="0" w:line="11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HLS Therapeutics Inc. "HLS" (Canada)</w:t>
      </w:r>
    </w:p>
    <w:p>
      <w:pPr>
        <w:spacing w:after="0" w:line="27" w:lineRule="exact"/>
        <w:rPr>
          <w:sz w:val="20"/>
          <w:szCs w:val="20"/>
          <w:color w:val="auto"/>
        </w:rPr>
      </w:pPr>
    </w:p>
    <w:p>
      <w:pPr>
        <w:ind w:left="180" w:right="40" w:firstLine="130"/>
        <w:spacing w:after="0" w:line="250" w:lineRule="auto"/>
        <w:rPr>
          <w:sz w:val="20"/>
          <w:szCs w:val="20"/>
          <w:color w:val="auto"/>
        </w:rPr>
      </w:pPr>
      <w:r>
        <w:rPr>
          <w:rFonts w:ascii="Times New Roman" w:cs="Times New Roman" w:eastAsia="Times New Roman" w:hAnsi="Times New Roman"/>
          <w:sz w:val="18"/>
          <w:szCs w:val="18"/>
          <w:color w:val="auto"/>
        </w:rPr>
        <w:t>Biologix FZCo "Biologix" (Middle East North Africa, or MENA) Eddingpharm (Asia) Macao Commercial Offshore Limited "Edding"</w:t>
      </w:r>
    </w:p>
    <w:p>
      <w:pPr>
        <w:spacing w:after="0" w:line="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(China Territory)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VAZKEPA (EMA Core Dossier)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7620</wp:posOffset>
            </wp:positionV>
            <wp:extent cx="7132320" cy="2832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Recordati Industria Chimica e Farmaceutica S.p.A "Recordati" (Europe)</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CSL Seqirus "CSL"(Australia/New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5715</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Lotus Pharmaceuticals, "Lotus" (Southeast Asia)</w:t>
      </w:r>
    </w:p>
    <w:p>
      <w:pPr>
        <w:spacing w:after="0" w:line="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Neopharm (Israel) 1996 Ltd. "Neopharm" (Israel)</w:t>
      </w:r>
    </w:p>
    <w:p>
      <w:pPr>
        <w:spacing w:after="0" w:line="225" w:lineRule="exact"/>
        <w:rPr>
          <w:sz w:val="20"/>
          <w:szCs w:val="20"/>
          <w:color w:val="auto"/>
        </w:rPr>
      </w:pPr>
    </w:p>
    <w:p>
      <w:pPr>
        <w:sectPr>
          <w:pgSz w:w="11900" w:h="16838" w:orient="portrait"/>
          <w:cols w:equalWidth="0" w:num="2">
            <w:col w:w="5180" w:space="720"/>
            <w:col w:w="5260"/>
          </w:cols>
          <w:pgMar w:left="320" w:top="981" w:right="419" w:bottom="1440" w:gutter="0" w:footer="0" w:header="0"/>
          <w:type w:val="continuous"/>
        </w:sectPr>
      </w:pPr>
    </w:p>
    <w:p>
      <w:pPr>
        <w:ind w:left="520" w:right="600" w:hanging="3"/>
        <w:spacing w:after="0" w:line="282" w:lineRule="auto"/>
        <w:tabs>
          <w:tab w:leader="none" w:pos="7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Recordati partnership, agreements with Vianex S.A "Vianex" (Greece), Magnapharm Marketing &amp; Sales Romania S.R.L. "Magnapharm" (Romania), and Salus, Veletrgovina, d.o.o, "Salus" (Slovenia) have been transitioned to Recordati.</w:t>
      </w:r>
    </w:p>
    <w:p>
      <w:pPr>
        <w:spacing w:after="0" w:line="5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VASCEPA was first approved by the U.S. Food and Drug Administration, or U.S.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or the MARINE indication. In January 2013, the Company launched 1-gram size VASCEPA in the U.S. and in October 2016, introduced a 0.5-gram capsule size. On December 13, 2019, the U.S. FDA approved another indication and label expansion for VASCEPA based on the results of the Company’s long-term CV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approved by the U.S. FDA as an adjunct to maximally tolerated statin therapy for reducing persistent CV risk in select high risk patients, or the REDUCE-IT indication.</w:t>
      </w:r>
    </w:p>
    <w:p>
      <w:pPr>
        <w:spacing w:after="0" w:line="9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collectively, the Defendants, that declared as invalid several of the Company's patents covering the MARINE indication. The Company sought appeals of the Nevada Court judgment up to the U.S. Supreme Court, but the Company was unsuccessful. As a result, the following generic versions of IPE have obtained U.S. FDA approval with labeling consistent with the MARINE indication of VASCEPA and have entered the U.S. market:</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type w:val="continuous"/>
        </w:sectPr>
      </w:pPr>
    </w:p>
    <w:bookmarkStart w:id="7" w:name="page8"/>
    <w:bookmarkEnd w:id="7"/>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Company (ANDA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7620</wp:posOffset>
            </wp:positionV>
            <wp:extent cx="18173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11"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7"/>
          <w:szCs w:val="17"/>
          <w:color w:val="auto"/>
        </w:rPr>
        <w:t>Hikma Pharmaceuticals USA Inc.</w:t>
      </w:r>
    </w:p>
    <w:p>
      <w:pPr>
        <w:spacing w:after="0" w:line="200" w:lineRule="exact"/>
        <w:rPr>
          <w:sz w:val="20"/>
          <w:szCs w:val="20"/>
          <w:color w:val="auto"/>
        </w:rPr>
      </w:pPr>
    </w:p>
    <w:p>
      <w:pPr>
        <w:spacing w:after="0" w:line="2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Dr. Reddy’s Laboratories, Inc.</w:t>
      </w:r>
    </w:p>
    <w:p>
      <w:pPr>
        <w:spacing w:after="0" w:line="333"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7"/>
          <w:szCs w:val="17"/>
          <w:color w:val="auto"/>
        </w:rPr>
        <w:t>Teva Pharmaceuticals USA, Inc.</w:t>
      </w:r>
    </w:p>
    <w:p>
      <w:pPr>
        <w:spacing w:after="0" w:line="200" w:lineRule="exact"/>
        <w:rPr>
          <w:sz w:val="20"/>
          <w:szCs w:val="20"/>
          <w:color w:val="auto"/>
        </w:rPr>
      </w:pPr>
    </w:p>
    <w:p>
      <w:pPr>
        <w:spacing w:after="0" w:line="3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Apotex, Inc.</w:t>
      </w:r>
    </w:p>
    <w:p>
      <w:pPr>
        <w:spacing w:after="0" w:line="3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Zydus Lifesciences</w:t>
      </w:r>
    </w:p>
    <w:p>
      <w:pPr>
        <w:spacing w:after="0" w:line="27" w:lineRule="exact"/>
        <w:rPr>
          <w:sz w:val="20"/>
          <w:szCs w:val="20"/>
          <w:color w:val="auto"/>
        </w:rPr>
      </w:pPr>
    </w:p>
    <w:p>
      <w:pPr>
        <w:ind w:left="580"/>
        <w:spacing w:after="0" w:line="250" w:lineRule="auto"/>
        <w:rPr>
          <w:sz w:val="20"/>
          <w:szCs w:val="20"/>
          <w:color w:val="auto"/>
        </w:rPr>
      </w:pPr>
      <w:r>
        <w:rPr>
          <w:rFonts w:ascii="Times New Roman" w:cs="Times New Roman" w:eastAsia="Times New Roman" w:hAnsi="Times New Roman"/>
          <w:sz w:val="18"/>
          <w:szCs w:val="18"/>
          <w:color w:val="auto"/>
        </w:rPr>
        <w:t>Onesource Specialty (Amneal Original Filer)</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Humanwell Puracap</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Ascent Pharmaceuticals, Inc.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Qilu Pharmaceutical Co Ltd</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PharmaObedient (Spriaso Original</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Filer)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Xiamen LP Pharma Co.</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Aurobindo Pharma LTD</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Distributed /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7620</wp:posOffset>
            </wp:positionV>
            <wp:extent cx="6412230" cy="5575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12230" cy="55753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Hikma Pharmaceuticals USA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Northstar Rx;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Bryant Ranch Pre-Pack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Reddy’s Laboratories,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5715</wp:posOffset>
            </wp:positionV>
            <wp:extent cx="6412230" cy="411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1223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Teva Pharmaceuticals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AvKare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Apotex,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Health Packaging;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Golden State Medical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5715</wp:posOffset>
            </wp:positionV>
            <wp:extent cx="641223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Zydus Pharmaceuticals USA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Amneal Pharmaceuticals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Epic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-119380</wp:posOffset>
            </wp:positionV>
            <wp:extent cx="641223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Camber Pharmaceuticals;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Northstar Rx;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XL Care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5715</wp:posOffset>
            </wp:positionV>
            <wp:extent cx="641223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Vitruvias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-119380</wp:posOffset>
            </wp:positionV>
            <wp:extent cx="641223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w:t>
            </w:r>
          </w:p>
        </w:tc>
        <w:tc>
          <w:tcPr>
            <w:tcW w:w="12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1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w:t>
            </w:r>
          </w:p>
        </w:tc>
        <w:tc>
          <w:tcPr>
            <w:tcW w:w="10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0" w:type="dxa"/>
            <w:vAlign w:val="bottom"/>
          </w:tcPr>
          <w:p>
            <w:pPr>
              <w:spacing w:after="0"/>
              <w:rPr>
                <w:sz w:val="1"/>
                <w:szCs w:val="1"/>
                <w:color w:val="auto"/>
              </w:rPr>
            </w:pPr>
          </w:p>
        </w:tc>
      </w:tr>
      <w:tr>
        <w:trPr>
          <w:trHeight w:val="173"/>
        </w:trPr>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Indication Approval</w:t>
            </w:r>
          </w:p>
        </w:tc>
        <w:tc>
          <w:tcPr>
            <w:tcW w:w="12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3"/>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2020</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64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540"/>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2020</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75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540"/>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2023</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32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2024</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30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2024</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2024</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32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2025</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2026</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2026</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3">
            <w:col w:w="3380" w:space="160"/>
            <w:col w:w="2120" w:space="120"/>
            <w:col w:w="5440"/>
          </w:cols>
          <w:pgMar w:left="320" w:top="966" w:right="359" w:bottom="1440" w:gutter="0" w:footer="0" w:header="0"/>
        </w:sect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VAZKEPA, in the European Union, or EU, to reduce the risk of CV events in high-risk, statin-treated adult patients who have elevated TGs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CV disease or diabetes and at least one additional CV risk event. On April 22, 2021, the Company announced that the Medicines and Healthcare Products Regulatory Agency, or MHRA, approved VAZKEPA in England, Scotland and Wales to reduce CV risk. Collectively, CHMP, EMA, EC and MHRA are referred to herein as the European Regulatory Authorities.</w:t>
      </w:r>
    </w:p>
    <w:p>
      <w:pPr>
        <w:spacing w:after="0" w:line="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June 24, 2025, the Company announced the execution of an exclusive long-term license and supply agreement with Recordati Industria Chimica e Farmaceutica S.p.A., or Recordati, to develop and commercialize VAZKEPA in 59 countries, focused in Europe.</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June 1, 2023, the Company announced that the National Medical Products Administration, or NMPA, granted approval for VASCEPA under the MARINE indication and the Company's partner, Eddingpharm (Asia) Macao Commercial Offshore Limited, or Edding, launched commercially in October 2023. On June 28, 2024, Edding received NMPA approval for VASCEPA in Mainland China for the REDUCE-IT indication. On February 23, 2022, the Hong Kong Department of Health concluded their evaluation and approved the use of VASCEPA under the REDUCE-IT indication.</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Amarin is responsible for supplying VASCEPA to all markets in which the branded product is sold, including countries where the drug is promoted and sold via collaboration with third-party partners that compensate Amarin for such supply. Amarin is not responsible for providing any generic company with drug product.</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in accordance with U.S. Generally Accepted Accounting Principles, or GAAP,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type w:val="continuous"/>
        </w:sectPr>
      </w:pPr>
    </w:p>
    <w:bookmarkStart w:id="8" w:name="page9"/>
    <w:bookmarkEnd w:id="8"/>
    <w:p>
      <w:pPr>
        <w:ind w:right="20"/>
        <w:spacing w:after="0" w:line="261" w:lineRule="auto"/>
        <w:rPr>
          <w:sz w:val="20"/>
          <w:szCs w:val="20"/>
          <w:color w:val="auto"/>
        </w:rPr>
      </w:pPr>
      <w:r>
        <w:rPr>
          <w:rFonts w:ascii="Times New Roman" w:cs="Times New Roman" w:eastAsia="Times New Roman" w:hAnsi="Times New Roman"/>
          <w:sz w:val="18"/>
          <w:szCs w:val="18"/>
          <w:color w:val="auto"/>
        </w:rPr>
        <w:t>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2025, or the Form 10-K, filed with the SEC. The balance sheet amounts in this report were derived from the Company’s audited consolidated financial statements included in the Form 10-K.</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nine months ended September 30, 2026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 Certain amounts in the condensed consolidated financial statements of the prior year have been reclassified to conform to current year presentation.</w:t>
      </w:r>
    </w:p>
    <w:p>
      <w:pPr>
        <w:spacing w:after="0" w:line="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Effective as of April 11, 2025, the Company implemented an adjustment to the ratio of its American Depositary Shares, or ADSs, to Ordinary Shares from one ADS representing one Ordinary Share to one ADS representing 20 Ordinary Shares, or the ADS Ratio Change. The ADS Ratio Change does not change the Ordinary Shares outstanding. Holders of fractional ADSs resulting from the ADS Ratio Change received a cash payment in lieu of such fractional ADSs. The rate for the cash payment was set when the depositary bank aggregated the fractional ADSs and sold them in one or more market trades. All references to ADSs in the accompanying notes to the financial statements give retroactive effect to the per-share and share amounts for the ADS Ratio Change for all periods presented herein, unless otherwise specified. In addition, the exercise prices and the numbers of ADSs issuable upon the exercise of any outstanding options or restricted stock units, or RSUs, were proportionately adjusted.</w:t>
      </w:r>
    </w:p>
    <w:p>
      <w:pPr>
        <w:spacing w:after="0" w:line="8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68"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As of September 30, 2026, the Company had total assets of $634.1 million, of which $323.4 million consisted of cash and short-term investments. More specifically, the Company had current assets of $612.9 million, including cash and cash equivalents of $156.5 million, short-term investments of $166.9 million, accounts receivable, net, of $111.6 million and inventory of $158.9 million. As of September 30, 2026, the Company had no debt outstanding.</w:t>
      </w:r>
    </w:p>
    <w:p>
      <w:pPr>
        <w:spacing w:after="0" w:line="26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7—Revenue Recognition.</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12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45 days and are stated at amounts due from customers. The Company recognizes an allowance for losses on accounts receivable in an amount equal to the estimated probable credit losses net of any recoveries. The allowance is based primarily on assessment of specific identifiable customer accounts considered at risk or uncollectible, as well as an analysis of current receivables ageing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as of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5"/>
                <w:szCs w:val="15"/>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127,529</w:t>
            </w:r>
          </w:p>
        </w:tc>
        <w:tc>
          <w:tcPr>
            <w:tcW w:w="2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144,983</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1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(15,520)</w:t>
            </w:r>
          </w:p>
        </w:tc>
        <w:tc>
          <w:tcPr>
            <w:tcW w:w="4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(17,189)</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(436)</w:t>
            </w: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(962)</w:t>
            </w:r>
          </w:p>
        </w:tc>
      </w:tr>
      <w:tr>
        <w:trPr>
          <w:trHeight w:val="209"/>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111,573</w:t>
            </w:r>
          </w:p>
        </w:tc>
        <w:tc>
          <w:tcPr>
            <w:tcW w:w="20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126,832</w:t>
            </w:r>
          </w:p>
        </w:tc>
        <w:tc>
          <w:tcPr>
            <w:tcW w:w="80" w:type="dxa"/>
            <w:vAlign w:val="bottom"/>
            <w:tcBorders>
              <w:top w:val="single" w:sz="8" w:color="CFF0FC"/>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-170815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1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Company states inventory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inventory is expected beyond the next 12 months. The Company classifies finished goods expected to be sold within the next 12 months, and all of VASCEPA's active pharmaceutical ingredient, or API, as current inventory.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API.</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 Impairment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as provision for income taxes.</w:t>
      </w:r>
    </w:p>
    <w:p>
      <w:pPr>
        <w:spacing w:after="0" w:line="7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68"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stock-based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Ordinary Shares from employees are classified as cash flows from financing activities.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0" w:name="page11"/>
    <w:bookmarkEnd w:id="10"/>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 tax authorities. The Company is currently under audit by the IRS for its 2018 and 2019 U.S. income tax returns. Although the outcome of tax audits is always uncertain and could result in significant cash tax payments, the Company does not believe the outcome of these audits will have a material adverse effect on its condensed consolidated financial position or results of operations.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Earnings (loss) per Share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Basic net earnings (loss) per share is determined by dividing net income (loss) by the weighted average number of Ordinary Shares outstanding during the period. Diluted net earnings (loss) per share is determined by dividing net income (loss) by the diluted weighted average number of Ordinary Shares outstanding. Diluted weighted average shares reflects the dilutive effect, if any, of potentially dilutive Ordinary Shares, such as from the exercise of stock options and vesting of restricted stock units, or RSUs, calculated using the treasury stock method. In periods with reported net operating losses, all stock options and RSUs outstanding are deemed anti-dilutive such that basic and diluted loss per share are equal.</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calculation of net income (loss) and the number of Ordinary Shares and ADSs used to compute basic and diluted net earnings (loss) per Ordinary Share and ADS for the three and nine months ended September 30, 2026 and 2025 are as follows:</w:t>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80" w:type="dxa"/>
            <w:vAlign w:val="bottom"/>
          </w:tcPr>
          <w:p>
            <w:pPr>
              <w:spacing w:after="0"/>
              <w:rPr>
                <w:sz w:val="13"/>
                <w:szCs w:val="13"/>
                <w:color w:val="auto"/>
              </w:rPr>
            </w:pPr>
          </w:p>
        </w:tc>
        <w:tc>
          <w:tcPr>
            <w:tcW w:w="266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73"/>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(loss)—basic and diluted</w:t>
            </w:r>
          </w:p>
        </w:tc>
        <w:tc>
          <w:tcPr>
            <w:tcW w:w="5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(7,738)</w:t>
            </w:r>
          </w:p>
        </w:tc>
        <w:tc>
          <w:tcPr>
            <w:tcW w:w="3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(17,917)</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(37,574)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Ordinary Shares outstanding—basic</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417,766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3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427,856</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415,531</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420,178</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414,607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per Ordinary Share—basic</w:t>
            </w:r>
          </w:p>
        </w:tc>
        <w:tc>
          <w:tcPr>
            <w:tcW w:w="5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Ordinary Share— diluted</w:t>
            </w:r>
          </w:p>
        </w:tc>
        <w:tc>
          <w:tcPr>
            <w:tcW w:w="5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ADS outstanding—basic</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ADS outstanding—diluted</w:t>
            </w:r>
          </w:p>
        </w:tc>
        <w:tc>
          <w:tcPr>
            <w:tcW w:w="3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21,392</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21,008</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per ADS—basic</w:t>
            </w:r>
          </w:p>
        </w:tc>
        <w:tc>
          <w:tcPr>
            <w:tcW w:w="5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(0.37)</w:t>
            </w:r>
          </w:p>
        </w:tc>
        <w:tc>
          <w:tcPr>
            <w:tcW w:w="3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(0.85)</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ADS— diluted</w:t>
            </w:r>
          </w:p>
        </w:tc>
        <w:tc>
          <w:tcPr>
            <w:tcW w:w="5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(0.37)</w:t>
            </w:r>
          </w:p>
        </w:tc>
        <w:tc>
          <w:tcPr>
            <w:tcW w:w="3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-1536700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-1536700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-1536700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-431165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-431165</wp:posOffset>
            </wp:positionV>
            <wp:extent cx="59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-431165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-431165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 following potentially dilutive securities were not included in the computation of net earnings (loss) per share because the effect would be anti-dilutive or because performance criteria were not yet met for awards contingent upon such measures: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00" w:type="dxa"/>
            <w:vAlign w:val="bottom"/>
          </w:tcPr>
          <w:p>
            <w:pPr>
              <w:spacing w:after="0"/>
              <w:rPr>
                <w:sz w:val="13"/>
                <w:szCs w:val="13"/>
                <w:color w:val="auto"/>
              </w:rPr>
            </w:pPr>
          </w:p>
        </w:tc>
        <w:tc>
          <w:tcPr>
            <w:tcW w:w="28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73"/>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vMerge w:val="continue"/>
          </w:tcPr>
          <w:p>
            <w:pPr>
              <w:spacing w:after="0"/>
              <w:rPr>
                <w:sz w:val="12"/>
                <w:szCs w:val="12"/>
                <w:color w:val="auto"/>
              </w:rPr>
            </w:pPr>
          </w:p>
        </w:tc>
        <w:tc>
          <w:tcPr>
            <w:tcW w:w="126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26,104</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securities on the last day of the reporting period. RSUs are anti-dilutive during periods of net earnings when underlying performance-based vesting requirements were not achieved as of the last day of the reporting period.</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investments, and accounts receivable. The Company maintains substantially all of its cash and cash equivalents and short-term investments in financial institutions believed to be of high credit quality.</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w:t>
      </w: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right="280"/>
        <w:spacing w:after="0" w:line="256" w:lineRule="auto"/>
        <w:rPr>
          <w:sz w:val="20"/>
          <w:szCs w:val="20"/>
          <w:color w:val="auto"/>
        </w:rPr>
      </w:pPr>
      <w:r>
        <w:rPr>
          <w:rFonts w:ascii="Times New Roman" w:cs="Times New Roman" w:eastAsia="Times New Roman" w:hAnsi="Times New Roman"/>
          <w:sz w:val="18"/>
          <w:szCs w:val="18"/>
          <w:color w:val="auto"/>
        </w:rPr>
        <w:t>collateral or any other security to support credit sales. Three customers individually accounted for 10% or more of the Company’s gross product sales. Customers A, B, and C accounted for 30%, 31%, and 26%, respectively, of gross product sales for the nine months ended September 30, 2026, and represented 40%, 30%, and 17%, respectively, of the gross accounts receivable balance as of September 30, 2026. Customers A, B, and C accounted for 31%, 29%, and 28%, respectively, of gross product sales for the nine months ended September 30, 2025, and represented 43%, 23%, and 17%, respectively, of the gross accounts receivable balance as of December 31, 2025. The Company has not experienced any significant write-offs of its accounts receivable. All customer accounts are actively managed and no losses in excess of amounts reserved are currently expected.</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or the Company’s failure to enter into new and similar agreements in a timely fashion, if needed, could have a material adverse effect on its business, condition (financial and other), prospects or results of operations.</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6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(e.g., interest rates, yield curves) and inputs that are derived principally from or corroborated by observable market data by correlation or other means (market corroborated inputs).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9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September 30, 2026 and December 31, 2025, and indicate the fair value hierarchy of the valuation techniques the Company utilized to determine such fair value: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120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7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178,486</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178,486</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40,404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40,404</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18"/>
                <w:szCs w:val="18"/>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223,890</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218,890</w:t>
            </w:r>
          </w:p>
        </w:tc>
        <w:tc>
          <w:tcPr>
            <w:tcW w:w="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-796925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-779780</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-796925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-779780</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-796925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-779780</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-796925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-779780</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173"/>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168,095</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168,095</w:t>
            </w: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45,377</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218,472</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213,472</w:t>
            </w:r>
          </w:p>
        </w:tc>
        <w:tc>
          <w:tcPr>
            <w:tcW w:w="7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-25400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purchase of 90 days or less.</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investments are stated at amortized cost, which approximates fair value. The Company does not intend to sell these investment securities and the contractual maturities are not greater than 12 months. Those with original maturities greater than 90 days and maturities less than 12 months are included in short-term investments on its condensed consolidated balance sheet.</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Unrealized gains and losses on investment securities carried at amortized cost are not recognized in earnings unless realized through sale, maturity, or the recognition of a credit loss allowance. The Company evaluates securities with unrealized losses to determine whether such losses are other than temporary. The unrealized gain or loss for the nine months ended September 30, 2026 and 2025 were a loss of $0.3 million and a gain of $0.1 million, respectively. Interest on investments is reported in interest income in our condensed consolidated statement of operations. Interest receivable in investment securities of $1.4 million and $1.3 million as of September 30, 2026 and December 31, 2025, respectively, is reported in prepaid and other current assets in our condensed consolidated balance sheet.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CODM, in deciding how to allocate resources to an individual segment and in assessing performance of the segment. A single management team that reports to the Company’s CODM, who is the Chief Executive Officer, comprehensively manages the business on an integrated basis for the purpose of allocating resources. Therefore, the Company has one operating segment. The CODM uses consolidated net income (loss) to make operating decisions, allocate resources, and evaluate financial performance of the segment, primarily by monitoring actual results compared to forecasted results, as well as by reviewing year over year results.</w:t>
      </w:r>
    </w:p>
    <w:p>
      <w:pPr>
        <w:spacing w:after="0" w:line="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CODM reviews significant segment expenses for our single reportable segment. Significant segment expenses include cost of goods sold, selling expenses, general and administrative expenses, research and development expenses, payroll and payroll related expenses, non-cash stock-based compensation expense, and restructuring, all of which are presented in our condensed consolidated statements of operations. Other segment items include interest income, net, other income (expense), net, and provision for income taxes, which are also presented in our condensed consolidated statements of operations.</w:t>
      </w:r>
    </w:p>
    <w:p>
      <w:pPr>
        <w:spacing w:after="0" w:line="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Company’s CODM does not currently assess segment performance or allocate resources based on a measure of total assets nor is it practical for the Company to disaggregate assets based on geography. Accordingly, a total asset measure has not been provided for segment disclosure.</w:t>
      </w: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table below is a summary of the reportable segment profit or loss, including significant reportable segment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32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product revenue, net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28,525</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40,866</w:t>
            </w:r>
          </w:p>
        </w:tc>
        <w:tc>
          <w:tcPr>
            <w:tcW w:w="1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96,386</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Europe product revenue,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RoW product revenue, net</w:t>
            </w: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revenue,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77,954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Payroll and payroll related expense</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Restructuring</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18,541</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33,311</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74,643</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141,544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(11,103)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(25,704)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(43,845)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 before taxes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(35,196)</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Segment &amp; consolidated net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(7,738)</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(17,917)</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(37,574)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-2700020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-2700020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-2700020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-2416810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-2416810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-2416810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-2133600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-2133600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-2133600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-1019810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-1019810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-1019810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-453390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-453390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-453390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-170815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600" w:right="680" w:firstLine="7"/>
        <w:spacing w:after="0" w:line="282" w:lineRule="auto"/>
        <w:tabs>
          <w:tab w:leader="none" w:pos="8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2026 the Company recorded litigation-related charges of $9.4 million within general and administrative expense.</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Company identifies a restructuring event as a program that is planned and controlled by management, and materially changes either the scope of the Company's business or the manner in which that business is conducted. The accounting for involuntary termination benefits that are provided pursuant to a one-time benefit arrangement are accounted for under </w:t>
      </w:r>
      <w:r>
        <w:rPr>
          <w:rFonts w:ascii="Times New Roman" w:cs="Times New Roman" w:eastAsia="Times New Roman" w:hAnsi="Times New Roman"/>
          <w:sz w:val="18"/>
          <w:szCs w:val="18"/>
          <w:i w:val="1"/>
          <w:iCs w:val="1"/>
          <w:color w:val="auto"/>
        </w:rPr>
        <w:t>ASC 420 – Exit or Disposal Cost Obligations,</w:t>
      </w:r>
      <w:r>
        <w:rPr>
          <w:rFonts w:ascii="Times New Roman" w:cs="Times New Roman" w:eastAsia="Times New Roman" w:hAnsi="Times New Roman"/>
          <w:sz w:val="18"/>
          <w:szCs w:val="18"/>
          <w:color w:val="auto"/>
        </w:rPr>
        <w:t xml:space="preserve"> whereas involuntary termination benefits that are part of an ongoing written or substantive plan are accounted for under </w:t>
      </w:r>
      <w:r>
        <w:rPr>
          <w:rFonts w:ascii="Times New Roman" w:cs="Times New Roman" w:eastAsia="Times New Roman" w:hAnsi="Times New Roman"/>
          <w:sz w:val="18"/>
          <w:szCs w:val="18"/>
          <w:i w:val="1"/>
          <w:iCs w:val="1"/>
          <w:color w:val="auto"/>
        </w:rPr>
        <w:t>ASC 712 – Compensation – Nonretirement Postemployment Benefits.</w:t>
      </w:r>
      <w:r>
        <w:rPr>
          <w:rFonts w:ascii="Times New Roman" w:cs="Times New Roman" w:eastAsia="Times New Roman" w:hAnsi="Times New Roman"/>
          <w:sz w:val="18"/>
          <w:szCs w:val="18"/>
          <w:color w:val="auto"/>
        </w:rPr>
        <w:t xml:space="preserve"> The Company accrues a liability for termination benefits under ASC 712 when it is probable that a liability has been incurred and the amount can be reasonably estimated and under ASC 420 when the termination benefits are communicated.</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24, 2025, the Company announced a global restructuring plan, the Global Restructuring Plan, in connection with the execution of an exclusive long-term license and supply agreement with Recordati, with the vast majority of estimated cost savings to come from the elimination of commercial roles in the Company’s European operations. During the three and nine months ended September 30, 2026, the Company recognized nil and $3.4 million, respectively, and $9.4 million and $32.2 million for the three and nine months ended September 30, 2025, respectively, of restructuring expense reflected on the condensed consolidated statement of operations related to the reduction in force, substantially all of which is cash expenditure. Since inception of the Global Restructuring Plan, the Company has recognized cumulative restructuring charges of $39.6 million in the now completed Global Restructuring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restructuring charges for the three and nine months ended September 30, 2026 and 2025:</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0" w:type="dxa"/>
            <w:vAlign w:val="bottom"/>
          </w:tcPr>
          <w:p>
            <w:pPr>
              <w:spacing w:after="0"/>
              <w:rPr>
                <w:sz w:val="15"/>
                <w:szCs w:val="15"/>
                <w:color w:val="auto"/>
              </w:rPr>
            </w:pPr>
          </w:p>
        </w:tc>
        <w:tc>
          <w:tcPr>
            <w:tcW w:w="332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6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Employee restructuring separation</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charges</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Vendor contract charges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(1,308)</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restructuring expense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Stock acceleration</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ind w:left="120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restructuring costs incurred</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-333375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-316230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-333375</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-316230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-333375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-316230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 in restructuring liability, which is included within accrued expenses and other current liabilities: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40" w:type="dxa"/>
            <w:vAlign w:val="bottom"/>
          </w:tcPr>
          <w:p>
            <w:pPr>
              <w:spacing w:after="0"/>
              <w:rPr>
                <w:sz w:val="15"/>
                <w:szCs w:val="15"/>
                <w:color w:val="auto"/>
              </w:rPr>
            </w:pPr>
          </w:p>
        </w:tc>
        <w:tc>
          <w:tcPr>
            <w:tcW w:w="3580" w:type="dxa"/>
            <w:vAlign w:val="bottom"/>
            <w:gridSpan w:val="2"/>
          </w:tcPr>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cash obligations incurred</w:t>
            </w:r>
          </w:p>
        </w:tc>
        <w:tc>
          <w:tcPr>
            <w:tcW w:w="740" w:type="dxa"/>
            <w:vAlign w:val="bottom"/>
          </w:tcPr>
          <w:p>
            <w:pPr>
              <w:spacing w:after="0"/>
              <w:rPr>
                <w:sz w:val="18"/>
                <w:szCs w:val="18"/>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74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(9,833)</w:t>
            </w:r>
          </w:p>
        </w:tc>
      </w:tr>
      <w:tr>
        <w:trPr>
          <w:trHeight w:val="209"/>
        </w:trPr>
        <w:tc>
          <w:tcPr>
            <w:tcW w:w="5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top w:val="single" w:sz="8" w:color="CFF0FC"/>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adopted early by the Company or adopted as of the specified effective date.</w:t>
      </w:r>
    </w:p>
    <w:p>
      <w:pPr>
        <w:spacing w:after="0" w:line="5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or ASU, No. 2024-03, </w:t>
      </w:r>
      <w:r>
        <w:rPr>
          <w:rFonts w:ascii="Times New Roman" w:cs="Times New Roman" w:eastAsia="Times New Roman" w:hAnsi="Times New Roman"/>
          <w:sz w:val="18"/>
          <w:szCs w:val="18"/>
          <w:i w:val="1"/>
          <w:iCs w:val="1"/>
          <w:color w:val="auto"/>
        </w:rPr>
        <w:t>Income Statement—Reporting 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(Subtopic 220-40) </w:t>
      </w:r>
      <w:r>
        <w:rPr>
          <w:rFonts w:ascii="Times New Roman" w:cs="Times New Roman" w:eastAsia="Times New Roman" w:hAnsi="Times New Roman"/>
          <w:sz w:val="18"/>
          <w:szCs w:val="18"/>
          <w:color w:val="auto"/>
        </w:rPr>
        <w:t>and subsequently ASU No. 2025-01</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(Subtopic 220-40): Clarifying the Effective Date</w:t>
      </w:r>
      <w:r>
        <w:rPr>
          <w:rFonts w:ascii="Times New Roman" w:cs="Times New Roman" w:eastAsia="Times New Roman" w:hAnsi="Times New Roman"/>
          <w:sz w:val="18"/>
          <w:szCs w:val="18"/>
          <w:color w:val="auto"/>
        </w:rPr>
        <w:t>, which requires a public business entity to disclose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in the notes to its financial statements for annual reporting periods beginning after December 15, 2026 and interim reporting periods beginning after December 15, 2027. The Company is currently evaluating the impact that the adoption of ASU 2024-03 will have on the Company’s consolidated financial statements.</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which provides guidance on an optional practical expedient when applying the guidance related to the estimation of expected credit losses for current accounts receivable and current contract assets resulting from transactions arising from contracts with customers. The guidance is effective for annual reporting periods beginning after December 15, 2025 and interim reporting periods within that fiscal year. The Company adopted this guidance during the current fiscal year, and the adoption did not have a material impact on the Company’s condensed consolidated financial statements.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new accounting guidance, ASU No. 2025-11, </w:t>
      </w:r>
      <w:r>
        <w:rPr>
          <w:rFonts w:ascii="Times New Roman" w:cs="Times New Roman" w:eastAsia="Times New Roman" w:hAnsi="Times New Roman"/>
          <w:sz w:val="18"/>
          <w:szCs w:val="18"/>
          <w:i w:val="1"/>
          <w:iCs w:val="1"/>
          <w:color w:val="auto"/>
        </w:rPr>
        <w:t>Interim Reporting (Topic 270): Narrow Scope Improvements</w:t>
      </w:r>
      <w:r>
        <w:rPr>
          <w:rFonts w:ascii="Times New Roman" w:cs="Times New Roman" w:eastAsia="Times New Roman" w:hAnsi="Times New Roman"/>
          <w:sz w:val="18"/>
          <w:szCs w:val="18"/>
          <w:color w:val="auto"/>
        </w:rPr>
        <w:t>, which clarifies the scope and requirements for interim financial statement disclosures. The amendment creates a comprehensive list of required interim disclosures and introduces a disclosure principle requiring entities to disclose, in interim periods, any event or change since the previous year-end that has a material effect on the entity. The guidance is effective for annual reporting periods beginning after December 15, 2027, and for interim periods within that fiscal year. The Company is currently evaluating the impact of adopting this guidance.</w:t>
      </w:r>
    </w:p>
    <w:p>
      <w:pPr>
        <w:spacing w:after="0" w:line="7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Intangible Asset</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Intangible asset consists of internal-use software, website development costs and milestone payments to the former shareholders of Laxdale related to the 2004 acquisition of the rights to VASCEPA, which is the result of VASCEPA receiving marketing approval in the U.S. for the MARINE indication in 2012, the REDUCE-IT indication in 2019 and marketing approval in Europe in 2021. In accordance with ASC 350, the Company evaluates the remaining useful life of the intangible asset at each reporting period to determine if any events or circumstances warrant a revision to the remaining period of amortization. As of September 30, 2026,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260"/>
        <w:spacing w:after="0" w:line="282" w:lineRule="auto"/>
        <w:rPr>
          <w:sz w:val="20"/>
          <w:szCs w:val="20"/>
          <w:color w:val="auto"/>
        </w:rPr>
      </w:pPr>
      <w:r>
        <w:rPr>
          <w:rFonts w:ascii="Times New Roman" w:cs="Times New Roman" w:eastAsia="Times New Roman" w:hAnsi="Times New Roman"/>
          <w:sz w:val="18"/>
          <w:szCs w:val="18"/>
          <w:color w:val="auto"/>
        </w:rPr>
        <w:t>intangible assets have an estimated weighted-average remaining useful life of 4.5 years. The carrying value as of September 30, 2026 and December 31, 2025 is as follows: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32,081</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32,081</w:t>
            </w:r>
          </w:p>
        </w:tc>
        <w:tc>
          <w:tcPr>
            <w:tcW w:w="8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(18,716)</w:t>
            </w:r>
          </w:p>
        </w:tc>
      </w:tr>
      <w:tr>
        <w:trPr>
          <w:trHeight w:val="20"/>
        </w:trPr>
        <w:tc>
          <w:tcPr>
            <w:tcW w:w="3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80" w:type="dxa"/>
            <w:vAlign w:val="bottom"/>
            <w:shd w:val="clear" w:color="auto" w:fill="CFF0FC"/>
          </w:tcPr>
          <w:p>
            <w:pPr>
              <w:spacing w:after="0"/>
              <w:rPr>
                <w:sz w:val="19"/>
                <w:szCs w:val="19"/>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U.S. FDA and other global regulatory agencies. Inventory is comprised of raw materials, work in progress, and finished goods. Raw materials include purchased components and materials used in the manufacturing process, primarily API. Work in process consists of products in various stages of production. Finished goods represent completed products available for sale, VASCEPA, in 1-gram or 0.5-gram capsules. API currently has a shelf life of between four and five years. After being converted into capsule form, which is the last step in the manufacturing process, VASCEPA 1-gram and 0.5-gram capsules have remaining shelf lives of four to five years, with the approved shelf life varying by jurisdiction based on local regulatory approvals. Inventories as of September 30, 2026 and December 31, 2025 consist of the following:</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109,418</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112,291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35,156</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75,418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2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Total inventory </w:t>
            </w:r>
            <w:r>
              <w:rPr>
                <w:rFonts w:ascii="Times New Roman" w:cs="Times New Roman" w:eastAsia="Times New Roman" w:hAnsi="Times New Roman"/>
                <w:sz w:val="24"/>
                <w:szCs w:val="24"/>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158,850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195,910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-170815</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1360" w:right="1400" w:hanging="4"/>
        <w:spacing w:after="0" w:line="261" w:lineRule="auto"/>
        <w:tabs>
          <w:tab w:leader="none" w:pos="161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September 30, 2026, approximately $0.3 million and $2.0 million, respectively, of inventory was expensed through cost of goods sold for both product and non-product dating inventory. During the nine months ended September 30, 2025, approximately $0.4 million of inventory was expensed through cost of goods sold for product dating inventory.</w:t>
      </w:r>
    </w:p>
    <w:p>
      <w:pPr>
        <w:spacing w:after="0" w:line="28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accrues a liability for legal contingencies when it believes that it is both probable that a liability has been incurred and that it can reasonably estimate the amount of the loss. The Company reviews these accruals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determination is made. For the matters referenced below, where the amount of liability is not probable nor can the amount be reasonably estimated, accruals have not been made. In addition, in accordance with the relevant authoritative guidance, for matters in which the likelihood of material loss is at least reasonably possible, the Company provides disclosure of the possible loss or range of loss. If a reasonable estimate cannot be made, however, the Company will provide disclosure to that effect.</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Updates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below, there have been no material updates to our litigation as reported in the Company’s Form 10-K.</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November 30, 2020, the Company filed a patent infringement lawsuit against Hikma for making, selling, offering to sell, and importing generic icosapent ethyl capsules in and into the U.S. in a manner that the Company alleges induced the infringement of patents covering the use of VASCEPA to reduce specified CV risk. On January 4, 2022, the District Court for the District of Delaware granted a motion to dismiss the Company's lawsuit for failure to state a claim. Thereafter, the Company appealed to the Court of Appeals for the Federal Circuit. On June 25, 2024, the Federal Circuit issued a decision reversing the District Court, finding that the Company's allegations against Hikma plausibly state a claim alleging Hikma actively induced infringement of the asserted patents. Hikma filed a petition for rehearing en banc on August 22, 2024, which was denied on October 17, 2024. On February 14, 2025, Hikma filed a petition for a writ of certiorari with the Supreme Court of the U.S., which the Supreme Court granted on January 16, 2026. Thereafter, the District Court granted a stipulation proposed by the parties to stay the District Court proceedings pending the conclusion of Hikma’s appeal before the Supreme Court. After oral argument on April 29, 2026, the Supreme Court issued a decision on June 4, 2026, reversing the decision of the Federal Circuit and remanding the case for further proceedings, finding that the Company failed to state a claim for active inducement, and thus, cannot withstand Hikma’s motion to dismiss. On October 13, 2026, the parties agreed to a Confidential Settlement Agreement and Release wherein the parties agreed to dismiss all claims for patent infringement with prejudice.</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6" w:name="page17"/>
    <w:bookmarkEnd w:id="16"/>
    <w:p>
      <w:pPr>
        <w:ind w:right="20"/>
        <w:spacing w:after="0" w:line="253" w:lineRule="auto"/>
        <w:rPr>
          <w:sz w:val="20"/>
          <w:szCs w:val="20"/>
          <w:color w:val="auto"/>
        </w:rPr>
      </w:pPr>
      <w:r>
        <w:rPr>
          <w:rFonts w:ascii="Times New Roman" w:cs="Times New Roman" w:eastAsia="Times New Roman" w:hAnsi="Times New Roman"/>
          <w:sz w:val="18"/>
          <w:szCs w:val="18"/>
          <w:color w:val="auto"/>
        </w:rPr>
        <w:t>On March 31, 2023, the Company’s former chief executive officer, Karim Mikhail, filed a complaint against the Company and certain of its affiliates in the Superior Court of New Jersey, Law Division – Somerset County, captioned Mikhail v. Amarin Corporation, plc (Docket No. SOM-L-000366-23), concerning Mr. Mikhail’s alleged “constructive termination” from the Company. The complaint seeks unspecified damages arising from claims for breaches of his employment agreement, the Company's Executive Severance and Change of Control Plan, and the implied covenant of good faith and fair dealing. On April 3, 2023, the case moved to the U.S. District Court for the District of New Jersey (Civ. No. 3:23-cv-01856). On June 30, 2023, all defendants moved to dismiss this case without prejudice due to lack of jurisdiction. On March 4, 2024, the District Court granted the motion in part and denied the motion in part, permitting the parties to pursue limited discovery on the issue of personal jurisdiction. On March 20, 2025, the Company filed a new motion to dismiss for failure of plaintiff to state a claim. On November 26, 2025, the District Court granted Amarin's renewed motion to dismiss Karim Mikhail's first amended complaint in its entirety. On December 30, 2025, plaintiff filed a second amended complaint. In February 2026, the court issued an order granting Amarin permission to file a motion to dismiss, adopting a briefing schedule proposed by the parties. The parties completed briefing per the schedule and filed all briefs (i.e., “bundle”) with the court in August 2026. The Company believes it has valid defenses and will vigorously defend against the claims but cannot predict the outcome.</w:t>
      </w:r>
    </w:p>
    <w:p>
      <w:pPr>
        <w:spacing w:after="0" w:line="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April 27, 2021 and February 21, 2023, Dr. Reddy’s and Hikma, respectively, filed complaints against the Company in the U.S. District Court for the District of New Jersey, Civil action No. 21-cv-10309 and No. 23-cv-01016, alleging various antitrust violations stemming from alleged anticompetitive practices related to the supply of active pharmaceutical ingredient of VASCEPA. Dr. Reddy's complaint also includes a state law tortious interference claim related to the same alleged conduct. On March 28, 2024, Teva Pharmaceuticals USA, Inc., or Teva, filed a complaint against the Company in the U.S. District Court for the District of New Jersey, Civil action No. 24-cv-04341, alleging various antitrust violations analogous to those made by Dr. Reddy’s and Hikma. Further, on June 14, 2024, Apotex, Inc., or Apotex, filed a complaint against the Company in the U.S. District Court for the District of New Jersey, Civil action No. 24-cv-07041, alleging various antitrust violations analogous to those made by Dr. Reddy’s, Hikma and Teva, as well as a breach of contract claim related to the same alleged conduct. Apotex also seeks declaratory judgment regarding the applicability of a 2020 settlement agreement to its antitrust claims. In October 2024, Apotex amended its complaint to add as defendants KD Pharma-Bexbach GmbH; KD Swiss GmbH; Marine Ingredients, LLC; Innova Softgel, LLC; 03 Holding GmbH; Capiton AG. Relief sought include an unspecified amount of damages for alleged economic harm to each of Dr. Reddy’s, Hikma, Teva and Apotex, treble damages, other costs and fees and injunctive relief against the alleged violative activities. On December 9, 2025, the Company filed motions for judgment on the pleadings to dismiss the claims of Teva and Apotex, based on prior settlement agreements Amarin entered into with Teva and Apotex on May 25, 2018, and June 16, 2020, respectively, relating to generic versions of Amarin’s branded product VASCEPA. On February 2, 2026, the Court denied both motions. On October 13, 2026, the Company and Hikma, in conjunction with the settlement of the patent infringement litigation, further agreed to a Confidential Settlement Agreement and Release wherein in exchange for a negotiated settlement payment, Hikma will voluntarily dismiss with prejudice all pending claims against the Company. The negotiated settlement payment was recognized within selling, general and administrative expenses on the condensed consolidated statement of operations during the three months ended June 30, 2026.</w:t>
      </w:r>
    </w:p>
    <w:p>
      <w:pPr>
        <w:spacing w:after="0" w:line="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named as a defendant in six putative antitrust class action lawsuits in the District Court for the District of New Jersey, as displayed in the table below. Each of the six antitrust putative class action lawsuits alleged that the Company violated federal antitrust laws by monopolizing and engaging in a conspiracy to restrain trade in the IPE drug and API markets. The Indirect Purchaser Plaintiffs also asserted related state antitrust, consumer protection, and unjust enrichment claims. The Indirect Purchaser Plaintiffs sought relief in the form of an unspecified amount of compensatory damages, treble damages, other costs and fees, restitution, and declaratory and injunctive relief against the alleged violative activities. The Direct Purchaser Plaintiff sought treble damages and other costs and fees. On April 14, 2026, the Company agreed to a Confidential Settlement Agreement and Release with the named Indirect Purchaser Plaintiffs and the Direct Purchaser Plaintiff, together, the Purchaser Plaintiffs, wherein in exchange for a negotiated settlement payment, the Purchaser Plaintiffs would voluntarily dismiss with prejudice all pending claims against the Company. The negotiated settlement payment was recognized within selling, general and administrative expenses on the condensed consolidated statement of operations during the three months ended March 31, 2026 and settled during the three months ended June 30, 2026. On April 20, 2026, a Stipulation of Voluntary Dismissal of Amarin Defendants with Prejudice was filed in each of the Indirect Purchaser and Direct Purchaser lawsuits. On April 22, 2026, the Court ordered the stipulations and the lawsuits against the Company were dismissed with prejudice.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Lawsuits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825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Uniformed Fire Officers Association Family Protection Plan Local 854</w:t>
      </w:r>
    </w:p>
    <w:p>
      <w:pPr>
        <w:spacing w:after="0" w:line="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Uniformed Fire Officers Association for Retired Fire Officers Family Protection Plan The International Union of Operating Engineers Locals 137, 137A, 137B, 137C, 137R KPH Healthcare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240"/>
        <w:spacing w:after="0" w:line="250" w:lineRule="auto"/>
        <w:rPr>
          <w:sz w:val="20"/>
          <w:szCs w:val="20"/>
          <w:color w:val="auto"/>
        </w:rPr>
      </w:pPr>
      <w:r>
        <w:rPr>
          <w:rFonts w:ascii="Times New Roman" w:cs="Times New Roman" w:eastAsia="Times New Roman" w:hAnsi="Times New Roman"/>
          <w:sz w:val="18"/>
          <w:szCs w:val="18"/>
          <w:color w:val="auto"/>
        </w:rPr>
        <w:t>Local 464A United Food and Commercial Workers Union Welfare Service Benefit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Teamsters Health &amp; Welfare Fund of Philadelphia and Vicinity</w:t>
      </w:r>
    </w:p>
    <w:p>
      <w:pPr>
        <w:spacing w:after="0" w:line="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Board of Trustees of Heavy and General Laborers’ Local Unions 472 and 172 of N.J. Welfare Fund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Civil Action #</w:t>
            </w:r>
          </w:p>
        </w:tc>
        <w:tc>
          <w:tcPr>
            <w:tcW w:w="14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Direct/Indirect Purchasers</w:t>
            </w:r>
          </w:p>
        </w:tc>
        <w:tc>
          <w:tcPr>
            <w:tcW w:w="120" w:type="dxa"/>
            <w:vAlign w:val="bottom"/>
          </w:tcPr>
          <w:p>
            <w:pPr>
              <w:spacing w:after="0"/>
              <w:rPr>
                <w:sz w:val="15"/>
                <w:szCs w:val="15"/>
                <w:color w:val="auto"/>
              </w:rPr>
            </w:pPr>
          </w:p>
        </w:tc>
        <w:tc>
          <w:tcPr>
            <w:tcW w:w="16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Date Filed</w:t>
            </w:r>
          </w:p>
        </w:tc>
      </w:tr>
      <w:tr>
        <w:trPr>
          <w:trHeight w:val="318"/>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21-12061</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6/2/2021</w:t>
            </w:r>
          </w:p>
        </w:tc>
      </w:tr>
      <w:tr>
        <w:trPr>
          <w:trHeight w:val="30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21-12416</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6/11/2021</w:t>
            </w: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21-12747</w:t>
            </w:r>
          </w:p>
        </w:tc>
        <w:tc>
          <w:tcPr>
            <w:tcW w:w="1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6/18/2021</w:t>
            </w:r>
          </w:p>
        </w:tc>
      </w:tr>
      <w:tr>
        <w:trPr>
          <w:trHeight w:val="32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21-13009</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6/25/2021</w:t>
            </w:r>
          </w:p>
        </w:tc>
      </w:tr>
      <w:tr>
        <w:trPr>
          <w:trHeight w:val="32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21-13406</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7/7/2021</w:t>
            </w:r>
          </w:p>
        </w:tc>
      </w:tr>
      <w:tr>
        <w:trPr>
          <w:trHeight w:val="32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21-14639</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8/5/2021</w:t>
            </w:r>
          </w:p>
        </w:tc>
      </w:tr>
    </w:tbl>
    <w:p>
      <w:pPr>
        <w:spacing w:after="0" w:line="251" w:lineRule="exact"/>
        <w:rPr>
          <w:sz w:val="20"/>
          <w:szCs w:val="20"/>
          <w:color w:val="auto"/>
        </w:rPr>
      </w:pPr>
    </w:p>
    <w:p>
      <w:pPr>
        <w:sectPr>
          <w:pgSz w:w="11900" w:h="16838" w:orient="portrait"/>
          <w:cols w:equalWidth="0" w:num="2">
            <w:col w:w="6240" w:space="300"/>
            <w:col w:w="4700"/>
          </w:cols>
          <w:pgMar w:left="320" w:top="979" w:right="339" w:bottom="1440" w:gutter="0" w:footer="0" w:header="0"/>
        </w:sect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Antitrust litigation can be lengthy, costly and could materially affect and disrupt the Company’s business. The Company cannot predict when these matters will be resolved in their entirety, their outcome or their potential impact on the Company’s business. The Company believes it has valid defenses and will vigorously defend against the remaining claims. If it is determined that the Company has violated antitrust law, the Company could be subject to significant civil fines and penalties.</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 The Company believes it has valid defenses and will vigorously defend against the claims but cannot predict the outcome. The Company is unable to reasonably estimate the loss exposure, if any, associated with these claims, except for a $6.3 million provision.</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11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currently has long-term supply agreements with multiple API suppliers and encapsulators. The Company is relying on these suppliers to meet current and potential future global demand for VASCEPA. Certain supply agreements require annual minimum volume commitments by the Company and certain volume shortfalls may require payments for such shortfalls.</w:t>
      </w:r>
    </w:p>
    <w:p>
      <w:pPr>
        <w:spacing w:after="0" w:line="6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6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continues to negotiate with its contract suppliers to better align its supply arrangements with current and anticipated global demand. As of September 30, 2026, the Company has a total of approximately $39.3 million in future contractual purchase obligations as well as $96.0 million of future purchase obligations contingent on certain suppliers obtaining regulatory approval.</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Under the Laxdale agreement, upon receipt of a marketing approval in Europe for a further indication of VASCEPA (or further indication of any other product acquired from Laxdale in 2004), the Company must make an aggregate stock or cash payment (at the sole option of each such former shareholder) of £5.0 million (approximately $6.6 million as of September 30, 2026) for the potential market approval.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provision for any of these obligations since the amounts are either not paid or payable as of September 30, 2026.</w:t>
      </w:r>
    </w:p>
    <w:p>
      <w:pPr>
        <w:spacing w:after="0" w:line="3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ADSs</w:t>
      </w:r>
    </w:p>
    <w:p>
      <w:pPr>
        <w:spacing w:after="0" w:line="119" w:lineRule="exact"/>
        <w:rPr>
          <w:sz w:val="20"/>
          <w:szCs w:val="20"/>
          <w:color w:val="auto"/>
        </w:rPr>
      </w:pPr>
    </w:p>
    <w:p>
      <w:pPr>
        <w:ind w:right="20" w:firstLine="45"/>
        <w:spacing w:after="0" w:line="282" w:lineRule="auto"/>
        <w:rPr>
          <w:sz w:val="20"/>
          <w:szCs w:val="20"/>
          <w:color w:val="auto"/>
        </w:rPr>
      </w:pPr>
      <w:r>
        <w:rPr>
          <w:rFonts w:ascii="Times New Roman" w:cs="Times New Roman" w:eastAsia="Times New Roman" w:hAnsi="Times New Roman"/>
          <w:sz w:val="18"/>
          <w:szCs w:val="18"/>
          <w:color w:val="auto"/>
        </w:rPr>
        <w:t>On April 11, 2025, the Company effected its ADS Ratio Change on its ADSs from one ADS representing one Ordinary Share, to the new ratio of one ADS representing 20 Ordinary Shares.</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2026 and 2025, except as described above, the Company did not engage in any transactions involving its ADSs. Refer to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 for discussions of Ordinary Shares issued as a result of stock option exercises and vesting of RSUs.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Ordinary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 was no Ordinary Share activity during the nine months ended September 30, 2026 and 2025, except as described in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type w:val="continuous"/>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number of Ordinary Shares underlying stock options and RSUs outstanding under the Amarin Corporation plc 2020 Stock Incentive Plan, as amended, or the 2020 Plan, as of September 30, 2026: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34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28,991,100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 of outstanding on a fully-diluted basis</w:t>
            </w:r>
          </w:p>
        </w:tc>
        <w:tc>
          <w:tcPr>
            <w:tcW w:w="3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3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7,335,360</w:t>
            </w: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 of outstanding on a fully-diluted basis</w:t>
            </w:r>
          </w:p>
        </w:tc>
        <w:tc>
          <w:tcPr>
            <w:tcW w:w="3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equity awards activity during the nine months ended September 30, 2026 and 2025:</w:t>
      </w:r>
    </w:p>
    <w:p>
      <w:pPr>
        <w:sectPr>
          <w:pgSz w:w="11900" w:h="16838" w:orient="portrait"/>
          <w:cols w:equalWidth="0" w:num="1">
            <w:col w:w="11240"/>
          </w:cols>
          <w:pgMar w:left="320" w:top="1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issued in settlement of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 xml:space="preserve">Ordinary Shares retained for settlement of employee tax obligations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RSUs Ordinary Shares issued in settlement of vested Performance-based RSUs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Ordinary Shares retained for settlement of employee tax obligations ─ Performance-based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33604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60" w:type="dxa"/>
            <w:vAlign w:val="bottom"/>
            <w:gridSpan w:val="2"/>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1"/>
        </w:trPr>
        <w:tc>
          <w:tcPr>
            <w:tcW w:w="24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9,023,000</w:t>
            </w:r>
          </w:p>
        </w:tc>
        <w:tc>
          <w:tcPr>
            <w:tcW w:w="420" w:type="dxa"/>
            <w:vAlign w:val="bottom"/>
          </w:tcPr>
          <w:p>
            <w:pPr>
              <w:spacing w:after="0"/>
              <w:rPr>
                <w:sz w:val="16"/>
                <w:szCs w:val="16"/>
                <w:color w:val="auto"/>
              </w:rPr>
            </w:pPr>
          </w:p>
        </w:tc>
        <w:tc>
          <w:tcPr>
            <w:tcW w:w="24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7,083,019</w:t>
            </w:r>
          </w:p>
        </w:tc>
      </w:tr>
      <w:tr>
        <w:trPr>
          <w:trHeight w:val="216"/>
        </w:trPr>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3,685,700</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2,939,015</w:t>
            </w:r>
          </w:p>
        </w:tc>
      </w:tr>
      <w:tr>
        <w:trPr>
          <w:trHeight w:val="234"/>
        </w:trPr>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257,500</w:t>
            </w:r>
          </w:p>
        </w:tc>
      </w:tr>
      <w:tr>
        <w:trPr>
          <w:trHeight w:val="324"/>
        </w:trPr>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117,898</w:t>
            </w:r>
          </w:p>
        </w:tc>
      </w:tr>
    </w:tbl>
    <w:p>
      <w:pPr>
        <w:spacing w:after="0" w:line="197" w:lineRule="exact"/>
        <w:rPr>
          <w:sz w:val="20"/>
          <w:szCs w:val="20"/>
          <w:color w:val="auto"/>
        </w:rPr>
      </w:pPr>
    </w:p>
    <w:p>
      <w:pPr>
        <w:sectPr>
          <w:pgSz w:w="11900" w:h="16838" w:orient="portrait"/>
          <w:cols w:equalWidth="0" w:num="2">
            <w:col w:w="5540" w:space="300"/>
            <w:col w:w="5400"/>
          </w:cols>
          <w:pgMar w:left="320" w:top="1226" w:right="339" w:bottom="1440" w:gutter="0" w:footer="0" w:header="0"/>
          <w:type w:val="continuous"/>
        </w:sect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Performance-based RSUs vested in connection with the achievement of certain performance conditions during the year.</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January 2026, the Company granted RSUs for a total of 5,615,880 Ordinary Shares and stock options for a total of 5,570,420 Ordinary Shares to employees under the 2020 Plan. The RSUs vest annually over a three-year period and the stock options vest quarterly over a three-year period with a one-year cliff vesting.</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June 2025, the Company granted to Aaron Berg (i) RSUs for 1,500,000 Ordinary Shares that vested upon the date of grant; and (ii) stock options and RSUs of 750,000 and 250,000 Ordinary Shares that both vest 50% on June 26, 2026 and December 26, 2026, respectively.</w:t>
      </w:r>
    </w:p>
    <w:p>
      <w:pPr>
        <w:spacing w:after="0" w:line="5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January 2025, the Company granted RSUs for a total of 10,646,844 Ordinary Shares and stock options for a total of 3,313,059 Ordinary Shares to employees under the 2020 Plan. The RSUs and stock options vest 50% on both January 1, 2026 and July 1, 2026, respectively.</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Revenue Recognition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retail pharmacy providers in the U.S. and commercial partners globally,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Within the U.S., revenues from product sales are recognized when the distributor obtains control of the Company’s product, which occurs at a point in time, typically upon delivery to the distributor and in certain instances upon shipment. Payments from distributors are generally received 45 days from the date of sale. The Company evaluates the creditworthiness of each of its distributors to determine whether revenues can be recognized upon delivery, subject to satisfaction of the other requirements</w:t>
      </w:r>
      <w:r>
        <w:rPr>
          <w:rFonts w:ascii="Times New Roman" w:cs="Times New Roman" w:eastAsia="Times New Roman" w:hAnsi="Times New Roman"/>
          <w:sz w:val="18"/>
          <w:szCs w:val="18"/>
          <w:color w:val="00B050"/>
        </w:rPr>
        <w:t>.</w:t>
      </w:r>
      <w:r>
        <w:rPr>
          <w:rFonts w:ascii="Times New Roman" w:cs="Times New Roman" w:eastAsia="Times New Roman" w:hAnsi="Times New Roman"/>
          <w:sz w:val="18"/>
          <w:szCs w:val="18"/>
          <w:color w:val="auto"/>
        </w:rPr>
        <w:t xml:space="preserve"> The Company calculates gross product revenues generally based on the wholesale acquisition cost or list price that the Company charges its distributors for VASCEPA.</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Outside of the U.S.,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type w:val="continuous"/>
        </w:sectPr>
      </w:pPr>
    </w:p>
    <w:bookmarkStart w:id="19" w:name="page20"/>
    <w:bookmarkEnd w:id="19"/>
    <w:p>
      <w:pPr>
        <w:spacing w:after="0" w:line="253" w:lineRule="auto"/>
        <w:rPr>
          <w:sz w:val="20"/>
          <w:szCs w:val="20"/>
          <w:color w:val="auto"/>
        </w:rPr>
      </w:pPr>
      <w:r>
        <w:rPr>
          <w:rFonts w:ascii="Times New Roman" w:cs="Times New Roman" w:eastAsia="Times New Roman" w:hAnsi="Times New Roman"/>
          <w:sz w:val="18"/>
          <w:szCs w:val="18"/>
          <w:color w:val="auto"/>
        </w:rPr>
        <w:t>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82" w:lineRule="exact"/>
        <w:rPr>
          <w:sz w:val="20"/>
          <w:szCs w:val="20"/>
          <w:color w:val="auto"/>
        </w:rPr>
      </w:pPr>
    </w:p>
    <w:p>
      <w:pPr>
        <w:ind w:left="520" w:right="20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distribution services, such as fees for certain data that distributors provide to the Company. The payment terms for sales to distributors in the U.S. and Europe generally include a 2-3% discount for prompt payment; while the fees for U.S. and global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74" w:lineRule="exact"/>
        <w:rPr>
          <w:sz w:val="20"/>
          <w:szCs w:val="20"/>
          <w:color w:val="auto"/>
        </w:rPr>
      </w:pPr>
    </w:p>
    <w:p>
      <w:pPr>
        <w:ind w:left="520" w:right="40"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collectively, Third-party Payors, so that VASCEPA will be eligible for purchase by, or partial or full reimbursement from, such Third-party Payors. The Company has withdrawn from the Medicaid Drug Rebate program and the 340B drug pricing program effective October 1, 2024.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88" w:lineRule="exact"/>
        <w:rPr>
          <w:sz w:val="20"/>
          <w:szCs w:val="20"/>
          <w:color w:val="auto"/>
        </w:rPr>
      </w:pPr>
    </w:p>
    <w:p>
      <w:pPr>
        <w:ind w:left="520"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six months prior to the labeled expiration date and ending 12 months after the labeled expiration date. The expiration date for VASCEPA 1-gram and 0.5-gram size capsules is currently four to five years, based on regulatory approvals by jurisdiction,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79" w:lineRule="exact"/>
        <w:rPr>
          <w:sz w:val="20"/>
          <w:szCs w:val="20"/>
          <w:color w:val="auto"/>
        </w:rPr>
      </w:pPr>
    </w:p>
    <w:p>
      <w:pPr>
        <w:ind w:left="52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ind w:left="520" w:right="100"/>
        <w:spacing w:after="0" w:line="266" w:lineRule="auto"/>
        <w:rPr>
          <w:sz w:val="20"/>
          <w:szCs w:val="20"/>
          <w:color w:val="auto"/>
        </w:rPr>
      </w:pPr>
      <w:r>
        <w:rPr>
          <w:rFonts w:ascii="Times New Roman" w:cs="Times New Roman" w:eastAsia="Times New Roman" w:hAnsi="Times New Roman"/>
          <w:sz w:val="18"/>
          <w:szCs w:val="18"/>
          <w:color w:val="auto"/>
        </w:rPr>
        <w:t>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18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80" w:type="dxa"/>
            <w:vAlign w:val="bottom"/>
          </w:tcPr>
          <w:p>
            <w:pPr>
              <w:spacing w:after="0"/>
              <w:rPr>
                <w:sz w:val="13"/>
                <w:szCs w:val="13"/>
                <w:color w:val="auto"/>
              </w:rPr>
            </w:pPr>
          </w:p>
        </w:tc>
        <w:tc>
          <w:tcPr>
            <w:tcW w:w="8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40" w:type="dxa"/>
            <w:vAlign w:val="bottom"/>
          </w:tcPr>
          <w:p>
            <w:pPr>
              <w:spacing w:after="0"/>
              <w:rPr>
                <w:sz w:val="15"/>
                <w:szCs w:val="15"/>
                <w:color w:val="auto"/>
              </w:rPr>
            </w:pPr>
          </w:p>
        </w:tc>
        <w:tc>
          <w:tcPr>
            <w:tcW w:w="96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bottom w:val="single" w:sz="8" w:color="auto"/>
            </w:tcBorders>
            <w:gridSpan w:val="2"/>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6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17,189</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right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102,257</w:t>
            </w:r>
          </w:p>
        </w:tc>
        <w:tc>
          <w:tcPr>
            <w:tcW w:w="1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2,541</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1,260</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123,247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550,664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5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Borders>
              <w:left w:val="single" w:sz="8" w:color="CFF0FC"/>
            </w:tcBorders>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(450,404)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5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(16,462)</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(101,595)</w:t>
            </w:r>
          </w:p>
        </w:tc>
        <w:tc>
          <w:tcPr>
            <w:tcW w:w="180" w:type="dxa"/>
            <w:vAlign w:val="bottom"/>
            <w:tcBorders>
              <w:left w:val="single" w:sz="8" w:color="CFF0FC"/>
            </w:tcBorders>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(123,916)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CFF0FC"/>
          </w:tcPr>
          <w:p>
            <w:pPr>
              <w:spacing w:after="0" w:line="20" w:lineRule="exact"/>
              <w:rPr>
                <w:sz w:val="1"/>
                <w:szCs w:val="1"/>
                <w:color w:val="auto"/>
              </w:rPr>
            </w:pPr>
          </w:p>
        </w:tc>
        <w:tc>
          <w:tcPr>
            <w:tcW w:w="5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15,520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101,098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w:t>
            </w:r>
          </w:p>
        </w:tc>
        <w:tc>
          <w:tcPr>
            <w:tcW w:w="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80" w:type="dxa"/>
            <w:vAlign w:val="bottom"/>
          </w:tcPr>
          <w:p>
            <w:pPr>
              <w:spacing w:after="0"/>
              <w:rPr>
                <w:sz w:val="24"/>
                <w:szCs w:val="24"/>
                <w:color w:val="auto"/>
              </w:rPr>
            </w:pPr>
          </w:p>
        </w:tc>
        <w:tc>
          <w:tcPr>
            <w:tcW w:w="8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bottom w:val="single" w:sz="8" w:color="auto"/>
            </w:tcBorders>
            <w:gridSpan w:val="2"/>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9,433</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right w:val="single" w:sz="8" w:color="CFF0FC"/>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97,526</w:t>
            </w:r>
          </w:p>
        </w:tc>
        <w:tc>
          <w:tcPr>
            <w:tcW w:w="180" w:type="dxa"/>
            <w:vAlign w:val="bottom"/>
            <w:tcBorders>
              <w:lef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right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4,734</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1,548</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113,241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504,168</w:t>
            </w:r>
          </w:p>
        </w:tc>
        <w:tc>
          <w:tcPr>
            <w:tcW w:w="18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5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Borders>
              <w:left w:val="single" w:sz="8" w:color="CFF0FC"/>
            </w:tcBorders>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(411,114)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5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(8,779)</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(96,717)</w:t>
            </w:r>
          </w:p>
        </w:tc>
        <w:tc>
          <w:tcPr>
            <w:tcW w:w="180" w:type="dxa"/>
            <w:vAlign w:val="bottom"/>
            <w:tcBorders>
              <w:left w:val="single" w:sz="8" w:color="CFF0FC"/>
            </w:tcBorders>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(110,431)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CFF0FC"/>
          </w:tcPr>
          <w:p>
            <w:pPr>
              <w:spacing w:after="0" w:line="20" w:lineRule="exact"/>
              <w:rPr>
                <w:sz w:val="1"/>
                <w:szCs w:val="1"/>
                <w:color w:val="auto"/>
              </w:rPr>
            </w:pPr>
          </w:p>
        </w:tc>
        <w:tc>
          <w:tcPr>
            <w:tcW w:w="5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12,774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94,425</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2,722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1,246</w:t>
            </w:r>
          </w:p>
        </w:tc>
        <w:tc>
          <w:tcPr>
            <w:tcW w:w="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-1456690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-1456690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-1456690</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-1456690</wp:posOffset>
            </wp:positionV>
            <wp:extent cx="60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-1456690</wp:posOffset>
            </wp:positionV>
            <wp:extent cx="603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-170815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-170815</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-170815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7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75"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w:t>
      </w: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1" w:name="page22"/>
    <w:bookmarkEnd w:id="21"/>
    <w:p>
      <w:pPr>
        <w:ind w:right="20"/>
        <w:spacing w:after="0" w:line="254" w:lineRule="auto"/>
        <w:rPr>
          <w:sz w:val="20"/>
          <w:szCs w:val="20"/>
          <w:color w:val="auto"/>
        </w:rPr>
      </w:pPr>
      <w:r>
        <w:rPr>
          <w:rFonts w:ascii="Times New Roman" w:cs="Times New Roman" w:eastAsia="Times New Roman" w:hAnsi="Times New Roman"/>
          <w:sz w:val="18"/>
          <w:szCs w:val="18"/>
          <w:color w:val="auto"/>
        </w:rPr>
        <w:t>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7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Royalty Payments: </w:t>
      </w:r>
      <w:r>
        <w:rPr>
          <w:rFonts w:ascii="Times New Roman" w:cs="Times New Roman" w:eastAsia="Times New Roman" w:hAnsi="Times New Roman"/>
          <w:sz w:val="18"/>
          <w:szCs w:val="18"/>
          <w:color w:val="auto"/>
        </w:rPr>
        <w:t>At the inception of each arrangement that includes royalty-based payments, the Company evaluates whether the royalties relate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of intellectual property, in which case they are accounted for under the royalty constraint within ASC 606 and recognized when the later of the subsequent sale or usage occurs or when the performance obligations have been satisfied. If the royalties do not relate to the licensing of intellectual property, the royalties are accounted for under the variable consideration constraint within ASC 606 and are recognized in the transaction price only to the extent that it is probable that a significant reversal in the amount of cumulative revenue will not occur when the uncertainty around the variable consideration is subsequently resolved. Royalty payments that fall within the variable consideration constraint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The royalties that are considered variable consideration are recognized when the uncertainty related to the variable consideration is subsequently resolved. At the end of each subsequent reporting period, the Company reevaluates the circumstances and recognizes royalties that are no longer constrained.</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provides various incentives and payments to certain customers that are accounted for as consideration payable to customers. Consideration payable to customers is recognized as a reduction of the transaction price and, therefore, as a reduction of net revenue, unless the payment is in exchange for a distinct good or service received from the customer and the fair value of that good or service can be reasonably estimated. In such cases, the amount is recognized as an operating expense. Consideration payable to a customer is recognized as a reduction of the transaction price at the later of when the Company recognizes revenue for the transfer of the related goods or services or when the Company promises to pay or pays the consideration to the customer.</w:t>
      </w:r>
    </w:p>
    <w:p>
      <w:pPr>
        <w:spacing w:after="0" w:line="29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Development, Commercialization and Supply Agreements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In-licenses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U.S. and certain other territories and the parties will collaborate to research and develop new products and indications based on EPA for the Company’s commercialization in the U.S. and certain other territories. The potential new product and indication opportunities contemplated under this agreement are currently in early stages of development.</w:t>
      </w:r>
    </w:p>
    <w:p>
      <w:pPr>
        <w:spacing w:after="0" w:line="7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6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February 2026 and 2025, the Company exercised certain rights under the agreement, resulting in payments of $1.0 million in each of such periods to Mochida, which was recorded as research and development expense in the condensed consolidated statement of operations.</w:t>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 related to the development and commercialization of VASCEPA in Mainland China, Hong Kong, Macau and Taiwan, or collectively, the China Territory. Under the terms of the DCS Agreement, the Company granted to Edding an exclusive (including as to the Company) license with the right to sublicense development and commercialization of VASCEPA in the China Territory for uses that are currently commercialized and under development by the Company based on the Company’s MARINE, ANCHOR and REDUCE-IT clinical trials of VASCEPA.</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is comprised of the following upfront payments and milestones: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Transaction Price Components</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09"/>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fee</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2015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Submission of the CTA for the MARINE indication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Approval of VASCEPA under the MARINE indication</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Submission of the CTA for the REDUCE-IT indication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Approval of VASCEPA under the REDUCE-IT indication</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Development Support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8"/>
                <w:szCs w:val="18"/>
                <w:color w:val="auto"/>
              </w:rPr>
            </w:pPr>
          </w:p>
        </w:tc>
      </w:tr>
      <w:tr>
        <w:trPr>
          <w:trHeight w:val="249"/>
        </w:trPr>
        <w:tc>
          <w:tcPr>
            <w:tcW w:w="8120" w:type="dxa"/>
            <w:vAlign w:val="bottom"/>
            <w:tcBorders>
              <w:bottom w:val="single" w:sz="8" w:color="CFF0FC"/>
            </w:tcBorders>
            <w:gridSpan w:val="2"/>
            <w:shd w:val="clear" w:color="auto" w:fill="CFF0FC"/>
          </w:tcPr>
          <w:p>
            <w:pPr>
              <w:ind w:left="6240"/>
              <w:spacing w:after="0"/>
              <w:rPr>
                <w:sz w:val="20"/>
                <w:szCs w:val="20"/>
                <w:color w:val="auto"/>
              </w:rPr>
            </w:pPr>
            <w:r>
              <w:rPr>
                <w:rFonts w:ascii="Times New Roman" w:cs="Times New Roman" w:eastAsia="Times New Roman" w:hAnsi="Times New Roman"/>
                <w:sz w:val="18"/>
                <w:szCs w:val="18"/>
                <w:color w:val="auto"/>
              </w:rPr>
              <w:t>Total Transaction Price</w:t>
            </w:r>
          </w:p>
        </w:tc>
        <w:tc>
          <w:tcPr>
            <w:tcW w:w="16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tiered double-digit percentage royalties on net sales of VASCEPA in the China Territory escalating to the high teens. The achievement of sales-based milestone events occurs when annual aggregate net sales of VASCEPA in the China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fully recognized the transaction price as of June 30, 2024.</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recognized royalties of $0.5 million and $1.7 million for the three and nine months ended September 30, 2026, respectively, and $0.4 million and $1.3 million for the three and nine months ended September 30, 2025, respectively.</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Biologix a non-exclusive license to use its trademarks in connection with the importation, distribution, promotion, marketing and sale of VASCEPA in the Middle East and North Africa territory. Upon closing of the agreement, the Company received a non-refundable upfront payment, which has been fully recognized as of June 30, 2024.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Company received approval of VASCEPA under the MARINE and REDUCE-IT indications in the following countries: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2022</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bl>
    <w:p>
      <w:pPr>
        <w:spacing w:after="0" w:line="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$2.5 million and $3.7 million for the three and nine months ended September 30, 2026, respectively, and $1.8 million and $4.5 million for the three and nine months ended September 30, 2025, respectively, related to sales to Biologix.</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or HLS, a company incorporated under the laws of Canada, to register, commercialize and distribute VASCEPA in Canada. Under the agreement, HLS is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is comprised of the following upfront payments and milestones: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Transaction Price Components</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10"/>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fee</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2017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Achievement of the REDUCE-IT trial primary endpoint</w:t>
            </w:r>
          </w:p>
        </w:tc>
        <w:tc>
          <w:tcPr>
            <w:tcW w:w="1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Approval from Health Canada</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2019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Regulatory exclusivity from the Office of Patented Medicines and Liaison</w:t>
            </w:r>
          </w:p>
        </w:tc>
        <w:tc>
          <w:tcPr>
            <w:tcW w:w="1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Sales-based milestone</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2026</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payable</w:t>
            </w:r>
          </w:p>
        </w:tc>
        <w:tc>
          <w:tcPr>
            <w:tcW w:w="1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r>
      <w:tr>
        <w:trPr>
          <w:trHeight w:val="250"/>
        </w:trPr>
        <w:tc>
          <w:tcPr>
            <w:tcW w:w="7940" w:type="dxa"/>
            <w:vAlign w:val="bottom"/>
            <w:tcBorders>
              <w:bottom w:val="single" w:sz="8" w:color="CFF0FC"/>
            </w:tcBorders>
            <w:shd w:val="clear" w:color="auto" w:fill="CFF0FC"/>
          </w:tcPr>
          <w:p>
            <w:pPr>
              <w:ind w:left="6240"/>
              <w:spacing w:after="0"/>
              <w:rPr>
                <w:sz w:val="20"/>
                <w:szCs w:val="20"/>
                <w:color w:val="auto"/>
              </w:rPr>
            </w:pPr>
            <w:r>
              <w:rPr>
                <w:rFonts w:ascii="Times New Roman" w:cs="Times New Roman" w:eastAsia="Times New Roman" w:hAnsi="Times New Roman"/>
                <w:sz w:val="18"/>
                <w:szCs w:val="18"/>
                <w:color w:val="auto"/>
                <w:w w:val="99"/>
              </w:rPr>
              <w:t>Total Transaction Price</w:t>
            </w:r>
          </w:p>
        </w:tc>
        <w:tc>
          <w:tcPr>
            <w:tcW w:w="18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the non-refundable, upfront and sales-based and regulatory milestone payments just described, the Company is entitled to receive certain sales-based milestone payments of up to an additional $47.5 million, as well as tiered double-digit royalties on net sales of VASCEPA in Canada. None of the other clinical or regulatory milestones have been included in the transaction price, as all outstanding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w:t>
      </w:r>
    </w:p>
    <w:p>
      <w:pPr>
        <w:spacing w:after="0" w:line="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recognized net licensing revenue of nil and $0.4 million, respectively, related to recognition of a milestone in connection with the HLS agreement, offset by consideration payable to the customer (none for the three and nine months ended September 30, 2025). As of September 30, 2026, the transaction price has been fully recognized.</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recognized net product revenue of $1.9 million and $2.6 million for the three and nine months ended September 30, 2026, respectively, and $1.8 million for both the three and nine months ended September 30, 2025 related to sales to HLS. The Company also recognized royalties of $0.7 million and $2.1 million for the three and nine months ended September 30, 2026, respectively, and $0.7 million and $1.9 million for the three and nine months ended September 30, 2025, respectively.</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CSL Seqirus</w:t>
      </w:r>
    </w:p>
    <w:p>
      <w:pPr>
        <w:spacing w:after="0" w:line="173"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CSL Seqirus, or CSL, to secure pricing and reimbursement, commercialize and distribute VAZKEPA in Australia and New Zealand. The Company received an upfront payment of $0.5 million, which was fully recognized during the first quarter of 2023. In October 2024, CSL obtained listing of VAZKEPA on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right="60"/>
        <w:spacing w:after="0" w:line="261" w:lineRule="auto"/>
        <w:rPr>
          <w:sz w:val="20"/>
          <w:szCs w:val="20"/>
          <w:color w:val="auto"/>
        </w:rPr>
      </w:pPr>
      <w:r>
        <w:rPr>
          <w:rFonts w:ascii="Times New Roman" w:cs="Times New Roman" w:eastAsia="Times New Roman" w:hAnsi="Times New Roman"/>
          <w:sz w:val="18"/>
          <w:szCs w:val="18"/>
          <w:color w:val="auto"/>
        </w:rPr>
        <w:t>Pharmaceutical Benefits Scheme, or PBS, in Australia, as a result the Company received a non-refundable $1.2 million milestone payment. In addition to the upfront and milestone payment, the Company will be eligible to receive event-related milestone payments of approximately $6.0 million and additional product-related milestone payments of approximately $4.0 million. The Company will be responsible for supplying finished product to CSL Seqirus at a price that is the greater of (i) a fixed transfer price, or (ii) a fixed percentage of the net selling price, as defined in the CSL agreement.</w:t>
      </w:r>
    </w:p>
    <w:p>
      <w:pPr>
        <w:spacing w:after="0" w:line="7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CSL, is a customer. The Company identified the following distinct performance obligations at the inception of the contract: an exclusive license to use its trademarks in connection with the importation, distribution, promotion, marketing and sale of VASCEPA in the Australia and New Zealand territories.</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transaction price includes the $0.5 million upfront consideration as well as the $1.2 million milestone payment received related to the listing of VAZKEPA on the PBS in Australia.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nil and $2.0 million for the three and nine months ended September 30, 2026, respectively, and nil and $0.8 million for the three and nine months ended September 30, 2025, respectively, related to sales to CSL.</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Recordati Industria Chimica e Farmaceutica S.p.A.</w:t>
      </w:r>
    </w:p>
    <w:p>
      <w:pPr>
        <w:spacing w:after="0" w:line="11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In June 2025, the Company entered into an exclusive long-term license and supply agreement with Recordati, or the Recordati Licensing Agreement, related to the development and commercialization of VASCEPA in 59 countries focused in Europe, or the Recordati Territory. Under the terms of the Recordati Licensing Agreement, the Company granted Recordati an exclusive license with the right to sublicense development and commercialization of VASCEPA in the Recordati Territory for uses that are currently commercialized and under development by the Company based on the Company’s REDUCE-IT clinical trials of VASCEPA. The Company has received marketing authorization by the MHRA and the EMA and subsequently made VASCEPA available under individual reimbursement or received national reimbursement and launched commercial operations, which has since been licensed to Recordati, in the following countries.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8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 Reimbursement</w:t>
            </w:r>
          </w:p>
        </w:tc>
        <w:tc>
          <w:tcPr>
            <w:tcW w:w="28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3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73"/>
        </w:trPr>
        <w:tc>
          <w:tcPr>
            <w:tcW w:w="364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England/Wales/Northern Ireland</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2022</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2023</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August 2023</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2023</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Greece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2024</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2024</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Italy</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January 2025</w:t>
            </w:r>
          </w:p>
        </w:tc>
        <w:tc>
          <w:tcPr>
            <w:tcW w:w="0" w:type="dxa"/>
            <w:vAlign w:val="bottom"/>
          </w:tcPr>
          <w:p>
            <w:pPr>
              <w:spacing w:after="0"/>
              <w:rPr>
                <w:sz w:val="1"/>
                <w:szCs w:val="1"/>
                <w:color w:val="auto"/>
              </w:rPr>
            </w:pPr>
          </w:p>
        </w:tc>
      </w:tr>
      <w:tr>
        <w:trPr>
          <w:trHeight w:val="216"/>
        </w:trPr>
        <w:tc>
          <w:tcPr>
            <w:tcW w:w="3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Slovenia </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2025</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2025</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Romania </w:t>
            </w:r>
            <w:r>
              <w:rPr>
                <w:rFonts w:ascii="Times New Roman" w:cs="Times New Roman" w:eastAsia="Times New Roman" w:hAnsi="Times New Roman"/>
                <w:sz w:val="24"/>
                <w:szCs w:val="24"/>
                <w:color w:val="auto"/>
                <w:vertAlign w:val="superscript"/>
              </w:rPr>
              <w:t>(3)</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2026</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2025</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2026</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Denmark</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Vianex will be the sole and exclusive distributor of VAZKEPA in the Greek territory to import, register, distribute and commercialize VAZKEPA.</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Salus will be the sole and exclusive distributor of VAZKEPA in the Slovenian territory to import, register, distribute and commercialize VAZKEPA.</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Magnapharm will be the sole and exclusive distributor of VAZKEPA in the Romanian territory to import, register, distribute and commercialize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VAZKEPA.</w:t>
      </w:r>
    </w:p>
    <w:p>
      <w:pPr>
        <w:spacing w:after="0" w:line="9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we received regulatory approval in Switzerland by the Swiss Agency for Therapeutic Products, or Swissmedic. VAZKEPA has been made available in Switzerland under individual reimbursement since January 2023.</w:t>
      </w:r>
    </w:p>
    <w:p>
      <w:pPr>
        <w:spacing w:after="0" w:line="54" w:lineRule="exact"/>
        <w:rPr>
          <w:sz w:val="20"/>
          <w:szCs w:val="20"/>
          <w:color w:val="auto"/>
        </w:rPr>
      </w:pPr>
    </w:p>
    <w:p>
      <w:pPr>
        <w:ind w:right="440"/>
        <w:spacing w:after="0" w:line="254"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Recordati, is a customer. The Company identified the following distinct performance obligation at the inception of the contract: an exclusive license to use its intellectual property; regulatory approvals; and regulatory documents in connection with the importation, distribution, promotion, marketing and sale of VASCEPA in the Recordati Territory. The Company will be responsible for supplying finished product to Recordati at a set price, as defined in the Recordati Licensing Agreement.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received an upfront payment of $25.0 million, which was fully recognized during 2025. In addition to the upfront payment, the Company will be eligible to receive sales-based milestone payments and royalties on net sales of VASCEPA in the Recordati Territory. The achievement of sales-based milestone events occurs when annual aggregate net sales of VASCEPA in the Recordati Territory equals or exceeds certain specified thresholds resulting in total payments to the Company of up to $150.0 million. Each such milestone payment will be payable only once regardless of how many times the sales milestone event is achieved. Each such milestone payment is non-refundable and non-creditable against any other milestone payments.</w:t>
      </w:r>
    </w:p>
    <w:p>
      <w:pPr>
        <w:spacing w:after="0" w:line="75"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transaction price includes the $25.0 million upfront consideration. Any consideration related to sales-based milestones, including royalties, will be recognized when the related sales occur or uncertainty related to the consideration resolved, and therefore have also been excluded from the transaction price. The Company will reevaluate the transaction price in each reporting period and as uncertain events are resolved or other changes in circumstances occur.</w:t>
      </w:r>
    </w:p>
    <w:p>
      <w:pPr>
        <w:spacing w:after="0" w:line="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recognized nil and $25.0 million, respectively, as licensing revenue related to the upfront payment received in connection with the Recordati Licensing Agreement (none for the three and nine months ended September 30, 2026).</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recognized net product revenue of $3.7 million and $12.1 million for the three and nine months ended September 30, 2026, respectively, and $1.7 million for both the three and nine months ended September 30, 2025, related to sales to Recordati. The Company also recognized royalties of $1.5 million and $3.4 million for the three and nine months ended September 30, 2026, respectively, and less than $0.1 million for both the three and nine months ended September 30, 2025.</w:t>
      </w:r>
    </w:p>
    <w:p>
      <w:pPr>
        <w:spacing w:after="0" w:line="176" w:lineRule="exact"/>
        <w:rPr>
          <w:sz w:val="20"/>
          <w:szCs w:val="20"/>
          <w:color w:val="auto"/>
        </w:rPr>
      </w:pPr>
    </w:p>
    <w:p>
      <w:pPr>
        <w:ind w:left="520" w:right="10220" w:hanging="512"/>
        <w:spacing w:after="0" w:line="377" w:lineRule="auto"/>
        <w:tabs>
          <w:tab w:leader="none" w:pos="37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Lessee</w:t>
      </w:r>
    </w:p>
    <w:p>
      <w:pPr>
        <w:spacing w:after="0" w:line="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8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75"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the Company will have a one-time option to terminate the agreement effective on the first day of the 97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after the Commencement Date upon advance written notice and a termination payment specified in the Lease. Under the Lease, the Company paid monthly rent of approximately $0.1 million for the first year following the Commencement Date, and such rent increases by a nominal percentage every year following the first anniversary of the Commencement Date. In addition, the Company receives certain abatements subject to the limitations in the Lease.</w:t>
      </w:r>
    </w:p>
    <w:p>
      <w:pPr>
        <w:spacing w:after="0" w:line="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17, 2021, the Company entered into a lease agreement for office space in Zug, Switzerland, or the Zug Lease. The Zug Lease commenced on February 1, 2022, or the Zug Commencement Date, for a five-year period, with one five-year renewal option. Under the Zug Lease, the Company paid annual rent of approximately $0.2 million for the first year following the Zug Commencement Date, and such rent increases by a nominal percentage every year following the first anniversary of the Zug Commencement Date. The Zug Lease was terminated effective December 31, 2025.</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April 26, 2024, the Company entered into a lease agreement for office space in Dublin, Ireland which commenced on September 1, 2024 for a two-year term. Under the lease agreement, the Company paid annual rent of approximately $0.5 million. The lease was terminated effective February 28, 2025.</w:t>
      </w:r>
    </w:p>
    <w:p>
      <w:pPr>
        <w:spacing w:after="0" w:line="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On February 11, 2025, the Company entered into an amendment to the Dublin office lease for additional office space. The amended lease commenced on March 1, 2025, and has a two-year term ending February 28, 2027. Under the amended lease, the Company is required to pay annual rent of approximately $0.9 million.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ind w:right="140"/>
        <w:spacing w:after="0" w:line="282" w:lineRule="auto"/>
        <w:rPr>
          <w:sz w:val="20"/>
          <w:szCs w:val="20"/>
          <w:color w:val="auto"/>
        </w:rPr>
      </w:pPr>
      <w:r>
        <w:rPr>
          <w:rFonts w:ascii="Times New Roman" w:cs="Times New Roman" w:eastAsia="Times New Roman" w:hAnsi="Times New Roman"/>
          <w:sz w:val="18"/>
          <w:szCs w:val="18"/>
          <w:color w:val="auto"/>
        </w:rPr>
        <w:t>On September 4, 2026, the Company entered into a second amendment to the Dublin office lease that extended the lease term by an additional 12 months, from February 28, 2027 to February 28, 2028. During the extension period, the Company will pay annual rent of approximately $1.0 million.</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Prior to the licensing agreement with Recordati, the Company had lease agreements for various automobiles with terms ranging from month-to-month up to 36 months within Europe.</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total operating lease liability is $7.6 million and $8.2 million and the total operating lease right-of-use asset is $6.1 million and $6.5 million, as of September 30, 2026 and December 31, 2025, respectively.</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lease expense for the three and nine months ended September 30, 2026 is approximately $0.7 million and $2.0 million, respectively. The lease expense for the three and nine months ended September 30, 2025 is approximately $0.8 million and $2.6 million, respectively.</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September 30, 2026: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Undiscounted lease payments</w:t>
            </w:r>
          </w:p>
        </w:tc>
        <w:tc>
          <w:tcPr>
            <w:tcW w:w="100" w:type="dxa"/>
            <w:vAlign w:val="bottom"/>
          </w:tcPr>
          <w:p>
            <w:pPr>
              <w:spacing w:after="0"/>
              <w:rPr>
                <w:sz w:val="15"/>
                <w:szCs w:val="15"/>
                <w:color w:val="auto"/>
              </w:rPr>
            </w:pPr>
          </w:p>
        </w:tc>
      </w:tr>
      <w:tr>
        <w:trPr>
          <w:trHeight w:val="209"/>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94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FF0FC"/>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Pr>
          <w:p>
            <w:pPr>
              <w:spacing w:after="0"/>
              <w:rPr>
                <w:sz w:val="18"/>
                <w:szCs w:val="18"/>
                <w:color w:val="auto"/>
              </w:rPr>
            </w:pPr>
          </w:p>
        </w:tc>
      </w:tr>
      <w:tr>
        <w:trPr>
          <w:trHeight w:val="216"/>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shd w:val="clear" w:color="auto" w:fill="CFF0FC"/>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18"/>
                <w:szCs w:val="18"/>
                <w:color w:val="auto"/>
              </w:rPr>
            </w:pPr>
          </w:p>
        </w:tc>
      </w:tr>
      <w:tr>
        <w:trPr>
          <w:trHeight w:val="216"/>
        </w:trPr>
        <w:tc>
          <w:tcPr>
            <w:tcW w:w="9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9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100" w:type="dxa"/>
            <w:vAlign w:val="bottom"/>
          </w:tcPr>
          <w:p>
            <w:pPr>
              <w:spacing w:after="0"/>
              <w:rPr>
                <w:sz w:val="18"/>
                <w:szCs w:val="18"/>
                <w:color w:val="auto"/>
              </w:rPr>
            </w:pPr>
          </w:p>
        </w:tc>
      </w:tr>
      <w:tr>
        <w:trPr>
          <w:trHeight w:val="20"/>
        </w:trPr>
        <w:tc>
          <w:tcPr>
            <w:tcW w:w="9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Adjustments</w:t>
            </w:r>
          </w:p>
        </w:tc>
        <w:tc>
          <w:tcPr>
            <w:tcW w:w="94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(1,585)</w:t>
            </w:r>
          </w:p>
        </w:tc>
      </w:tr>
      <w:tr>
        <w:trPr>
          <w:trHeight w:val="20"/>
        </w:trPr>
        <w:tc>
          <w:tcPr>
            <w:tcW w:w="90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9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18"/>
                <w:szCs w:val="18"/>
                <w:color w:val="auto"/>
              </w:rPr>
            </w:pPr>
          </w:p>
        </w:tc>
      </w:tr>
      <w:tr>
        <w:trPr>
          <w:trHeight w:val="216"/>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94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classifies contractual lease arrangements entered as a lessor as a sales-type, direct financing or operating lease as described in ASC 842. For sales-type leases, the Company derecognizes the leased asset and recognizes the lease investment on the balance sheet.</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January 20, 2023, the Company entered into a sublease agreement, or the Sublease, for 50,000 square feet of the 67,747 square foot Lease and included within the sublease are furniture, fixtures and equipment, collectively the Sublease. The Sublease commenced on February 1, 2023, or the Sublease Commencement Date, for a 7.5-year period. Under the Sublease, the Company will be paid monthly rent of approximately $0.1 million for the first year following the Sublease Commencement Date, and such rent increases by a nominal percentage every year following the first anniversary of the Sublease Commencement Date. In addition, the Company will provide certain abatements subject to the limitations in the Lease.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income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8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10"/>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r>
      <w:tr>
        <w:trPr>
          <w:trHeight w:val="209"/>
        </w:trPr>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from sales-type leases</w:t>
            </w:r>
          </w:p>
        </w:tc>
        <w:tc>
          <w:tcPr>
            <w:tcW w:w="1200" w:type="dxa"/>
            <w:vAlign w:val="bottom"/>
            <w:shd w:val="clear" w:color="auto" w:fill="CFF0FC"/>
          </w:tcPr>
          <w:p>
            <w:pPr>
              <w:jc w:val="right"/>
              <w:ind w:right="10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58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income</w:t>
            </w: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8"/>
                <w:szCs w:val="18"/>
                <w:color w:val="auto"/>
              </w:rPr>
            </w:pPr>
          </w:p>
        </w:tc>
      </w:tr>
      <w:tr>
        <w:trPr>
          <w:trHeight w:val="209"/>
        </w:trPr>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FF0FC"/>
          </w:tcPr>
          <w:p>
            <w:pPr>
              <w:jc w:val="right"/>
              <w:ind w:right="10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58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sales-type lease and operating lease receivables as of September 30, 2026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Sales-Type Leases</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5"/>
                <w:szCs w:val="15"/>
                <w:color w:val="auto"/>
              </w:rPr>
            </w:pP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42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8"/>
                <w:szCs w:val="18"/>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18"/>
                <w:szCs w:val="18"/>
                <w:color w:val="auto"/>
              </w:rPr>
            </w:pPr>
          </w:p>
        </w:tc>
      </w:tr>
      <w:tr>
        <w:trPr>
          <w:trHeight w:val="216"/>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9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Pr>
          <w:p>
            <w:pPr>
              <w:spacing w:after="0"/>
              <w:rPr>
                <w:sz w:val="19"/>
                <w:szCs w:val="19"/>
                <w:color w:val="auto"/>
              </w:rPr>
            </w:pPr>
          </w:p>
        </w:tc>
      </w:tr>
      <w:tr>
        <w:trPr>
          <w:trHeight w:val="414"/>
        </w:trPr>
        <w:tc>
          <w:tcPr>
            <w:tcW w:w="3460" w:type="dxa"/>
            <w:vAlign w:val="bottom"/>
          </w:tcPr>
          <w:p>
            <w:pPr>
              <w:spacing w:after="0"/>
              <w:rPr>
                <w:sz w:val="24"/>
                <w:szCs w:val="24"/>
                <w:color w:val="auto"/>
              </w:rPr>
            </w:pPr>
          </w:p>
        </w:tc>
        <w:tc>
          <w:tcPr>
            <w:tcW w:w="39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-916940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or this Quarterly Report,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2025, or our Annual Report, and under Part II, Item 1A, “Risk Factors” of this Quarterly Report.</w:t>
      </w: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7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notes thereto included elsewhere in this Quarterly Report, and the audited consolidated financial statements and accompanying notes, as well as Management’s Discussion and Analysis of Financial Condition and Results of Operations contained in our Annual Report.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w:t>
      </w:r>
    </w:p>
    <w:p>
      <w:pPr>
        <w:spacing w:after="0" w:line="67" w:lineRule="exact"/>
        <w:rPr>
          <w:sz w:val="20"/>
          <w:szCs w:val="20"/>
          <w:color w:val="auto"/>
        </w:rPr>
      </w:pPr>
    </w:p>
    <w:p>
      <w:pPr>
        <w:ind w:firstLine="509"/>
        <w:spacing w:after="0" w:line="230" w:lineRule="auto"/>
        <w:rPr>
          <w:sz w:val="20"/>
          <w:szCs w:val="20"/>
          <w:color w:val="auto"/>
        </w:rPr>
      </w:pPr>
      <w:r>
        <w:rPr>
          <w:rFonts w:ascii="Times New Roman" w:cs="Times New Roman" w:eastAsia="Times New Roman" w:hAnsi="Times New Roman"/>
          <w:sz w:val="18"/>
          <w:szCs w:val="18"/>
          <w:color w:val="auto"/>
        </w:rPr>
        <w:t>Our commercialized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or IPE) was first approved by the United States, or U.S., Food and Drug Administration, or U.S. FDA, in July 2012 for use as an adjunct to diet to reduce triglyceride, or TG, levels in adult patients with severe (≥500 mg/dL) hypertriglyceridemia, or HTG, or the MARINE indication. On December 13, 2019, the U.S. FDA approved another indication and label expansion for VASCEPA based on the results of our long-term CV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CV Events with EPA – Intervention Trial. VASCEPA is approved by the U.S. FDA as an adjunct to maximally tolerated statin therapy for reducing persistent CV risk in select high-risk-patients, or the REDUCE-IT indication.</w:t>
      </w:r>
    </w:p>
    <w:p>
      <w:pPr>
        <w:spacing w:after="0" w:line="95"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VASCEPA, under the brand name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VASCEPA, collectively referred to as VASCEPA, in the European Union, or EU, to reduce the risk of CV events in high-risk statin-treated adult patients who have elevated TG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CV disease or diabetes and at least one additional CV risk event. On April 22, 2021, we announced that the Medicines and Healthcare Products Regulatory Agency, or MHRA, approved VAZKEPA in England, Scotland and Wales to reduce CV risk. Collectively, Committee for Medicinal Products for Human Use, or CHMP, EMA, EC and MHRA are referred to herein as the European Regulatory Authorities.</w:t>
      </w:r>
    </w:p>
    <w:p>
      <w:pPr>
        <w:spacing w:after="0" w:line="9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and our seven commercial partners are in various stages: seeking or maintaining regulatory approval, obtaining government or private pricing and reimbursement, and/or commercialization. VASCEPA and VAZKEPA approvals and applications for approval globally reference either the U.S. New Drug Application, or NDA, core dossier or the EMA core dossier.</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VASCEPA (U.S. NDA Core Dossier)</w:t>
            </w:r>
          </w:p>
        </w:tc>
        <w:tc>
          <w:tcPr>
            <w:tcW w:w="220" w:type="dxa"/>
            <w:vAlign w:val="bottom"/>
          </w:tcPr>
          <w:p>
            <w:pPr>
              <w:spacing w:after="0"/>
              <w:rPr>
                <w:sz w:val="15"/>
                <w:szCs w:val="15"/>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VAZKEPA (EMA Core Dossier)</w:t>
            </w:r>
          </w:p>
        </w:tc>
        <w:tc>
          <w:tcPr>
            <w:tcW w:w="0" w:type="dxa"/>
            <w:vAlign w:val="bottom"/>
          </w:tcPr>
          <w:p>
            <w:pPr>
              <w:spacing w:after="0"/>
              <w:rPr>
                <w:sz w:val="1"/>
                <w:szCs w:val="1"/>
                <w:color w:val="auto"/>
              </w:rPr>
            </w:pPr>
          </w:p>
        </w:tc>
      </w:tr>
      <w:tr>
        <w:trPr>
          <w:trHeight w:val="191"/>
        </w:trPr>
        <w:tc>
          <w:tcPr>
            <w:tcW w:w="4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Amarin (US)</w:t>
            </w:r>
          </w:p>
        </w:tc>
        <w:tc>
          <w:tcPr>
            <w:tcW w:w="220" w:type="dxa"/>
            <w:vAlign w:val="bottom"/>
            <w:shd w:val="clear" w:color="auto" w:fill="CFF0FC"/>
          </w:tcPr>
          <w:p>
            <w:pPr>
              <w:spacing w:after="0"/>
              <w:rPr>
                <w:sz w:val="16"/>
                <w:szCs w:val="16"/>
                <w:color w:val="auto"/>
              </w:rPr>
            </w:pPr>
          </w:p>
        </w:tc>
        <w:tc>
          <w:tcPr>
            <w:tcW w:w="494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Recordati Industria Chimica e Farmaceutica S.p.A "Recordati"</w:t>
            </w:r>
          </w:p>
        </w:tc>
        <w:tc>
          <w:tcPr>
            <w:tcW w:w="0" w:type="dxa"/>
            <w:vAlign w:val="bottom"/>
          </w:tcPr>
          <w:p>
            <w:pPr>
              <w:spacing w:after="0"/>
              <w:rPr>
                <w:sz w:val="1"/>
                <w:szCs w:val="1"/>
                <w:color w:val="auto"/>
              </w:rPr>
            </w:pPr>
          </w:p>
        </w:tc>
      </w:tr>
      <w:tr>
        <w:trPr>
          <w:trHeight w:val="126"/>
        </w:trPr>
        <w:tc>
          <w:tcPr>
            <w:tcW w:w="49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(Europe) (1)</w:t>
            </w:r>
          </w:p>
        </w:tc>
        <w:tc>
          <w:tcPr>
            <w:tcW w:w="0" w:type="dxa"/>
            <w:vAlign w:val="bottom"/>
          </w:tcPr>
          <w:p>
            <w:pPr>
              <w:spacing w:after="0"/>
              <w:rPr>
                <w:sz w:val="1"/>
                <w:szCs w:val="1"/>
                <w:color w:val="auto"/>
              </w:rPr>
            </w:pPr>
          </w:p>
        </w:tc>
      </w:tr>
      <w:tr>
        <w:trPr>
          <w:trHeight w:val="108"/>
        </w:trPr>
        <w:tc>
          <w:tcPr>
            <w:tcW w:w="49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94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HLS Therapeutics Inc. "HLS" (Canada)</w:t>
            </w:r>
          </w:p>
        </w:tc>
        <w:tc>
          <w:tcPr>
            <w:tcW w:w="22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CSL Seqirus "CSL"(Australia/New Zealand)</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Biologix FZCo "Biologix" (Middle East North Africa, or MENA)</w:t>
            </w:r>
          </w:p>
        </w:tc>
        <w:tc>
          <w:tcPr>
            <w:tcW w:w="220" w:type="dxa"/>
            <w:vAlign w:val="bottom"/>
            <w:shd w:val="clear" w:color="auto" w:fill="CFF0FC"/>
          </w:tcPr>
          <w:p>
            <w:pPr>
              <w:spacing w:after="0"/>
              <w:rPr>
                <w:sz w:val="18"/>
                <w:szCs w:val="18"/>
                <w:color w:val="auto"/>
              </w:rPr>
            </w:pPr>
          </w:p>
        </w:tc>
        <w:tc>
          <w:tcPr>
            <w:tcW w:w="4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Lotus Pharmaceuticals, "Lotus" (Southeast Asia)</w:t>
            </w:r>
          </w:p>
        </w:tc>
        <w:tc>
          <w:tcPr>
            <w:tcW w:w="0" w:type="dxa"/>
            <w:vAlign w:val="bottom"/>
          </w:tcPr>
          <w:p>
            <w:pPr>
              <w:spacing w:after="0"/>
              <w:rPr>
                <w:sz w:val="1"/>
                <w:szCs w:val="1"/>
                <w:color w:val="auto"/>
              </w:rPr>
            </w:pPr>
          </w:p>
        </w:tc>
      </w:tr>
      <w:tr>
        <w:trPr>
          <w:trHeight w:val="198"/>
        </w:trPr>
        <w:tc>
          <w:tcPr>
            <w:tcW w:w="49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Eddingpharm (Asia) Macao Commercial Offshore Limited</w:t>
            </w:r>
          </w:p>
        </w:tc>
        <w:tc>
          <w:tcPr>
            <w:tcW w:w="220" w:type="dxa"/>
            <w:vAlign w:val="bottom"/>
          </w:tcPr>
          <w:p>
            <w:pPr>
              <w:spacing w:after="0"/>
              <w:rPr>
                <w:sz w:val="17"/>
                <w:szCs w:val="17"/>
                <w:color w:val="auto"/>
              </w:rPr>
            </w:pPr>
          </w:p>
        </w:tc>
        <w:tc>
          <w:tcPr>
            <w:tcW w:w="4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Neopharm (Israel) 1996 Ltd. "Neopharm" (Israel)</w:t>
            </w:r>
          </w:p>
        </w:tc>
        <w:tc>
          <w:tcPr>
            <w:tcW w:w="0" w:type="dxa"/>
            <w:vAlign w:val="bottom"/>
          </w:tcPr>
          <w:p>
            <w:pPr>
              <w:spacing w:after="0"/>
              <w:rPr>
                <w:sz w:val="1"/>
                <w:szCs w:val="1"/>
                <w:color w:val="auto"/>
              </w:rPr>
            </w:pPr>
          </w:p>
        </w:tc>
      </w:tr>
      <w:tr>
        <w:trPr>
          <w:trHeight w:val="126"/>
        </w:trPr>
        <w:tc>
          <w:tcPr>
            <w:tcW w:w="4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"Edding" (China Territory)</w:t>
            </w:r>
          </w:p>
        </w:tc>
        <w:tc>
          <w:tcPr>
            <w:tcW w:w="220" w:type="dxa"/>
            <w:vAlign w:val="bottom"/>
          </w:tcPr>
          <w:p>
            <w:pPr>
              <w:spacing w:after="0"/>
              <w:rPr>
                <w:sz w:val="10"/>
                <w:szCs w:val="10"/>
                <w:color w:val="auto"/>
              </w:rPr>
            </w:pPr>
          </w:p>
        </w:tc>
        <w:tc>
          <w:tcPr>
            <w:tcW w:w="4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right="660" w:hanging="3"/>
        <w:spacing w:after="0" w:line="282" w:lineRule="auto"/>
        <w:tabs>
          <w:tab w:leader="none" w:pos="7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Recordati partnership, agreements with Vianex S.A "Vianex" (Greece), Magnapharm Marketing &amp; Sales Romania S.R.L. "Magnapharm" (Romania), and Salus, Veletrgovina, d.o.o, "Salus" (Slovenia) have been transitioned to Recordati.</w:t>
      </w:r>
    </w:p>
    <w:p>
      <w:pPr>
        <w:spacing w:after="0" w:line="162" w:lineRule="exact"/>
        <w:rPr>
          <w:sz w:val="20"/>
          <w:szCs w:val="20"/>
          <w:color w:val="auto"/>
        </w:rPr>
      </w:pPr>
    </w:p>
    <w:p>
      <w:pPr>
        <w:jc w:val="both"/>
        <w:ind w:right="260" w:firstLine="509"/>
        <w:spacing w:after="0" w:line="257" w:lineRule="auto"/>
        <w:rPr>
          <w:sz w:val="20"/>
          <w:szCs w:val="20"/>
          <w:color w:val="auto"/>
        </w:rPr>
      </w:pPr>
      <w:r>
        <w:rPr>
          <w:rFonts w:ascii="Times New Roman" w:cs="Times New Roman" w:eastAsia="Times New Roman" w:hAnsi="Times New Roman"/>
          <w:sz w:val="18"/>
          <w:szCs w:val="18"/>
          <w:color w:val="auto"/>
        </w:rPr>
        <w:t>We are responsible for supplying VASCEPA to all markets in which the branded product is sold, including countries where the drug is promoted and sold via collaboration with third-party partners that compensate us for such supply. We are not responsible for providing any generic company with drug product. The Company operates in one business segment.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VASCEPA is sold principally to a limited number of major wholesalers, as well as selected regional wholesalers and retail and mail order pharmacy providers, or collectively, our distributors or our customers, most of whom in turn resell VASCEPA to retail pharmacies for subsequent resale to patients. Since VASCEPA was made commercially available in 2013, approximately 32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IPE have obtained U.S. FDA approval with labeling consistent with the MARINE indication and have entered the U.S. market:</w:t>
      </w:r>
    </w:p>
    <w:p>
      <w:pPr>
        <w:sectPr>
          <w:pgSz w:w="11900" w:h="16838" w:orient="portrait"/>
          <w:cols w:equalWidth="0" w:num="1">
            <w:col w:w="11200"/>
          </w:cols>
          <w:pgMar w:left="320" w:top="1238" w:right="379" w:bottom="1440" w:gutter="0" w:footer="0" w:header="0"/>
        </w:sectPr>
      </w:pPr>
    </w:p>
    <w:p>
      <w:pPr>
        <w:spacing w:after="0" w:line="2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Company (ANDA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7620</wp:posOffset>
            </wp:positionV>
            <wp:extent cx="18173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11"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7"/>
          <w:szCs w:val="17"/>
          <w:color w:val="auto"/>
        </w:rPr>
        <w:t>Hikma Pharmaceuticals USA Inc.</w:t>
      </w:r>
    </w:p>
    <w:p>
      <w:pPr>
        <w:spacing w:after="0" w:line="200" w:lineRule="exact"/>
        <w:rPr>
          <w:sz w:val="20"/>
          <w:szCs w:val="20"/>
          <w:color w:val="auto"/>
        </w:rPr>
      </w:pPr>
    </w:p>
    <w:p>
      <w:pPr>
        <w:spacing w:after="0" w:line="2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Dr. Reddy’s Laboratories, Inc.</w:t>
      </w:r>
    </w:p>
    <w:p>
      <w:pPr>
        <w:spacing w:after="0" w:line="333"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7"/>
          <w:szCs w:val="17"/>
          <w:color w:val="auto"/>
        </w:rPr>
        <w:t>Teva Pharmaceuticals USA, Inc.</w:t>
      </w:r>
    </w:p>
    <w:p>
      <w:pPr>
        <w:spacing w:after="0" w:line="200" w:lineRule="exact"/>
        <w:rPr>
          <w:sz w:val="20"/>
          <w:szCs w:val="20"/>
          <w:color w:val="auto"/>
        </w:rPr>
      </w:pPr>
    </w:p>
    <w:p>
      <w:pPr>
        <w:spacing w:after="0" w:line="3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Apotex, Inc.</w:t>
      </w:r>
    </w:p>
    <w:p>
      <w:pPr>
        <w:spacing w:after="0" w:line="3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Zydus Lifesciences</w:t>
      </w:r>
    </w:p>
    <w:p>
      <w:pPr>
        <w:spacing w:after="0" w:line="27" w:lineRule="exact"/>
        <w:rPr>
          <w:sz w:val="20"/>
          <w:szCs w:val="20"/>
          <w:color w:val="auto"/>
        </w:rPr>
      </w:pPr>
    </w:p>
    <w:p>
      <w:pPr>
        <w:ind w:left="580"/>
        <w:spacing w:after="0" w:line="250" w:lineRule="auto"/>
        <w:rPr>
          <w:sz w:val="20"/>
          <w:szCs w:val="20"/>
          <w:color w:val="auto"/>
        </w:rPr>
      </w:pPr>
      <w:r>
        <w:rPr>
          <w:rFonts w:ascii="Times New Roman" w:cs="Times New Roman" w:eastAsia="Times New Roman" w:hAnsi="Times New Roman"/>
          <w:sz w:val="18"/>
          <w:szCs w:val="18"/>
          <w:color w:val="auto"/>
        </w:rPr>
        <w:t>Onesource Specialty (Amneal Original Filer)</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Humanwell Puracap</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Ascent Pharmaceuticals, Inc.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Qilu Pharmaceutical Co Ltd</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PharmaObedient (Spriaso Original</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Filer)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Xiamen LP Pharma Co.</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Aurobindo Pharma LTD</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Distributed /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7620</wp:posOffset>
            </wp:positionV>
            <wp:extent cx="6412230" cy="5575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412230" cy="55753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Hikma Pharmaceuticals USA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Northstar Rx;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Bryant Ranch Pre-Pack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Reddy’s Laboratories,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5715</wp:posOffset>
            </wp:positionV>
            <wp:extent cx="6412230" cy="4114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41223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Teva Pharmaceuticals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AvKare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Apotex,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Health Packaging;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Golden State Medical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5715</wp:posOffset>
            </wp:positionV>
            <wp:extent cx="641223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Zydus Pharmaceuticals USA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Amneal Pharmaceuticals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Epic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-119380</wp:posOffset>
            </wp:positionV>
            <wp:extent cx="641223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Camber Pharmaceuticals;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Northstar Rx;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XL Care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5715</wp:posOffset>
            </wp:positionV>
            <wp:extent cx="641223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Vitruvias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-119380</wp:posOffset>
            </wp:positionV>
            <wp:extent cx="641223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w:t>
            </w:r>
          </w:p>
        </w:tc>
        <w:tc>
          <w:tcPr>
            <w:tcW w:w="12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1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w:t>
            </w:r>
          </w:p>
        </w:tc>
        <w:tc>
          <w:tcPr>
            <w:tcW w:w="10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0" w:type="dxa"/>
            <w:vAlign w:val="bottom"/>
          </w:tcPr>
          <w:p>
            <w:pPr>
              <w:spacing w:after="0"/>
              <w:rPr>
                <w:sz w:val="1"/>
                <w:szCs w:val="1"/>
                <w:color w:val="auto"/>
              </w:rPr>
            </w:pPr>
          </w:p>
        </w:tc>
      </w:tr>
      <w:tr>
        <w:trPr>
          <w:trHeight w:val="173"/>
        </w:trPr>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Indication Approval</w:t>
            </w:r>
          </w:p>
        </w:tc>
        <w:tc>
          <w:tcPr>
            <w:tcW w:w="12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2020</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64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540"/>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2020</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75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540"/>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2023</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32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2024</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30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2024</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2024</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32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2025</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2026</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2026</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3380" w:space="160"/>
            <w:col w:w="2120" w:space="120"/>
            <w:col w:w="5420"/>
          </w:cols>
          <w:pgMar w:left="320" w:top="1238" w:right="379" w:bottom="1440" w:gutter="0" w:footer="0" w:header="0"/>
          <w:type w:val="continuous"/>
        </w:sectPr>
      </w:pPr>
    </w:p>
    <w:p>
      <w:pPr>
        <w:spacing w:after="0" w:line="21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obtain data from a third party, Symphony Health, which collects and reports estimates of weekly, monthly, quarterly and annual prescription information. There is a limited amount of information available to determine the actual number of total prescriptions for products like VASCEPA during such periods. The vendor's estimate utilizes a proprietary projection methodology and is based on a combination of data received from pharmacies and other distributors, as well as historical data when actual data is unavailable. Based on data from Symphony Health, the below chart represents the estimated number of normalized total VASCEPA prescriptions in the U.S.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706120</wp:posOffset>
            </wp:positionV>
            <wp:extent cx="4440555" cy="2194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444055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previous calculations of prescription levels by this vendor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Partnerships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international partners are important to our growth strategy, and we continue to collaborate with them to support revenue generation across all commercialized markets. We and our partners have obtained varying levels of indication approvals and initiated or are in the process of initiating commercial launches in various territories where our partners have access. We and our partners continue to seek additional regulatory approvals in the countries in which our partners operate. We have agreements in place with the following partners within the respective territories: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Partner</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Agreement Date</w:t>
            </w:r>
          </w:p>
        </w:tc>
        <w:tc>
          <w:tcPr>
            <w:tcW w:w="12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2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MARINE Approval</w:t>
            </w: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REDUCE-IT Approval</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Launch Date</w:t>
            </w:r>
          </w:p>
        </w:tc>
        <w:tc>
          <w:tcPr>
            <w:tcW w:w="0" w:type="dxa"/>
            <w:vAlign w:val="bottom"/>
          </w:tcPr>
          <w:p>
            <w:pPr>
              <w:spacing w:after="0"/>
              <w:rPr>
                <w:sz w:val="1"/>
                <w:szCs w:val="1"/>
                <w:color w:val="auto"/>
              </w:rPr>
            </w:pPr>
          </w:p>
        </w:tc>
      </w:tr>
      <w:tr>
        <w:trPr>
          <w:trHeight w:val="210"/>
        </w:trPr>
        <w:tc>
          <w:tcPr>
            <w:tcW w:w="15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 xml:space="preserve">Edding </w:t>
            </w:r>
            <w:r>
              <w:rPr>
                <w:rFonts w:ascii="Times New Roman" w:cs="Times New Roman" w:eastAsia="Times New Roman" w:hAnsi="Times New Roman"/>
                <w:sz w:val="24"/>
                <w:szCs w:val="24"/>
                <w:color w:val="auto"/>
                <w:w w:val="93"/>
                <w:vertAlign w:val="superscript"/>
              </w:rPr>
              <w:t>(1)</w:t>
            </w:r>
          </w:p>
        </w:tc>
        <w:tc>
          <w:tcPr>
            <w:tcW w:w="100" w:type="dxa"/>
            <w:vAlign w:val="bottom"/>
            <w:vMerge w:val="restart"/>
            <w:shd w:val="clear" w:color="auto" w:fill="CFF0FC"/>
          </w:tcPr>
          <w:p>
            <w:pPr>
              <w:spacing w:after="0"/>
              <w:rPr>
                <w:sz w:val="18"/>
                <w:szCs w:val="18"/>
                <w:color w:val="auto"/>
              </w:rPr>
            </w:pPr>
          </w:p>
        </w:tc>
        <w:tc>
          <w:tcPr>
            <w:tcW w:w="1800" w:type="dxa"/>
            <w:vAlign w:val="bottom"/>
            <w:gridSpan w:val="2"/>
            <w:vMerge w:val="restart"/>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2015</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Mainland China</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2023</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CFF0FC"/>
            </w:tcBorders>
            <w:vMerge w:val="continue"/>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1800" w:type="dxa"/>
            <w:vAlign w:val="bottom"/>
            <w:tcBorders>
              <w:bottom w:val="single" w:sz="8" w:color="CFF0FC"/>
            </w:tcBorders>
            <w:gridSpan w:val="2"/>
            <w:vMerge w:val="continue"/>
            <w:shd w:val="clear" w:color="auto" w:fill="CFF0FC"/>
          </w:tcPr>
          <w:p>
            <w:pPr>
              <w:spacing w:after="0"/>
              <w:rPr>
                <w:sz w:val="17"/>
                <w:szCs w:val="17"/>
                <w:color w:val="auto"/>
              </w:rPr>
            </w:pPr>
          </w:p>
        </w:tc>
        <w:tc>
          <w:tcPr>
            <w:tcW w:w="188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Hong Kong</w:t>
            </w:r>
          </w:p>
        </w:tc>
        <w:tc>
          <w:tcPr>
            <w:tcW w:w="120" w:type="dxa"/>
            <w:vAlign w:val="bottom"/>
            <w:tcBorders>
              <w:bottom w:val="single" w:sz="8" w:color="CFF0FC"/>
            </w:tcBorders>
            <w:shd w:val="clear" w:color="auto" w:fill="CFF0FC"/>
          </w:tcPr>
          <w:p>
            <w:pPr>
              <w:spacing w:after="0"/>
              <w:rPr>
                <w:sz w:val="17"/>
                <w:szCs w:val="17"/>
                <w:color w:val="auto"/>
              </w:rPr>
            </w:pPr>
          </w:p>
        </w:tc>
        <w:tc>
          <w:tcPr>
            <w:tcW w:w="184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12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February 2023</w:t>
            </w:r>
          </w:p>
        </w:tc>
        <w:tc>
          <w:tcPr>
            <w:tcW w:w="12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May 2024</w:t>
            </w: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Lebanon</w:t>
            </w:r>
          </w:p>
        </w:tc>
        <w:tc>
          <w:tcPr>
            <w:tcW w:w="12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March 2018</w:t>
            </w:r>
          </w:p>
        </w:tc>
        <w:tc>
          <w:tcPr>
            <w:tcW w:w="120" w:type="dxa"/>
            <w:vAlign w:val="bottom"/>
          </w:tcPr>
          <w:p>
            <w:pPr>
              <w:spacing w:after="0"/>
              <w:rPr>
                <w:sz w:val="17"/>
                <w:szCs w:val="17"/>
                <w:color w:val="auto"/>
              </w:rPr>
            </w:pPr>
          </w:p>
        </w:tc>
        <w:tc>
          <w:tcPr>
            <w:tcW w:w="2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August 2021</w:t>
            </w:r>
          </w:p>
        </w:tc>
        <w:tc>
          <w:tcPr>
            <w:tcW w:w="120" w:type="dxa"/>
            <w:vAlign w:val="bottom"/>
          </w:tcPr>
          <w:p>
            <w:pPr>
              <w:spacing w:after="0"/>
              <w:rPr>
                <w:sz w:val="17"/>
                <w:szCs w:val="17"/>
                <w:color w:val="auto"/>
              </w:rPr>
            </w:pPr>
          </w:p>
        </w:tc>
        <w:tc>
          <w:tcPr>
            <w:tcW w:w="1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June 2018</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c>
          <w:tcPr>
            <w:tcW w:w="0" w:type="dxa"/>
            <w:vAlign w:val="bottom"/>
          </w:tcPr>
          <w:p>
            <w:pPr>
              <w:spacing w:after="0"/>
              <w:rPr>
                <w:sz w:val="1"/>
                <w:szCs w:val="1"/>
                <w:color w:val="auto"/>
              </w:rPr>
            </w:pPr>
          </w:p>
        </w:tc>
      </w:tr>
      <w:tr>
        <w:trPr>
          <w:trHeight w:val="288"/>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 xml:space="preserve">Biologix </w:t>
            </w:r>
            <w:r>
              <w:rPr>
                <w:rFonts w:ascii="Times New Roman" w:cs="Times New Roman" w:eastAsia="Times New Roman" w:hAnsi="Times New Roman"/>
                <w:sz w:val="24"/>
                <w:szCs w:val="24"/>
                <w:color w:val="auto"/>
                <w:w w:val="95"/>
                <w:vertAlign w:val="superscript"/>
              </w:rPr>
              <w:t>(2)</w:t>
            </w:r>
          </w:p>
        </w:tc>
        <w:tc>
          <w:tcPr>
            <w:tcW w:w="100" w:type="dxa"/>
            <w:vAlign w:val="bottom"/>
          </w:tcPr>
          <w:p>
            <w:pPr>
              <w:spacing w:after="0"/>
              <w:rPr>
                <w:sz w:val="24"/>
                <w:szCs w:val="24"/>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2016</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Qatar</w:t>
            </w:r>
          </w:p>
        </w:tc>
        <w:tc>
          <w:tcPr>
            <w:tcW w:w="12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2022</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Bahrain</w:t>
            </w:r>
          </w:p>
        </w:tc>
        <w:tc>
          <w:tcPr>
            <w:tcW w:w="120" w:type="dxa"/>
            <w:vAlign w:val="bottom"/>
          </w:tcPr>
          <w:p>
            <w:pPr>
              <w:spacing w:after="0"/>
              <w:rPr>
                <w:sz w:val="12"/>
                <w:szCs w:val="12"/>
                <w:color w:val="auto"/>
              </w:rPr>
            </w:pPr>
          </w:p>
        </w:tc>
        <w:tc>
          <w:tcPr>
            <w:tcW w:w="18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April 2021</w:t>
            </w:r>
          </w:p>
        </w:tc>
        <w:tc>
          <w:tcPr>
            <w:tcW w:w="120" w:type="dxa"/>
            <w:vAlign w:val="bottom"/>
          </w:tcPr>
          <w:p>
            <w:pPr>
              <w:spacing w:after="0"/>
              <w:rPr>
                <w:sz w:val="12"/>
                <w:szCs w:val="12"/>
                <w:color w:val="auto"/>
              </w:rPr>
            </w:pPr>
          </w:p>
        </w:tc>
        <w:tc>
          <w:tcPr>
            <w:tcW w:w="21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April 2022</w:t>
            </w:r>
          </w:p>
        </w:tc>
        <w:tc>
          <w:tcPr>
            <w:tcW w:w="120" w:type="dxa"/>
            <w:vAlign w:val="bottom"/>
          </w:tcPr>
          <w:p>
            <w:pPr>
              <w:spacing w:after="0"/>
              <w:rPr>
                <w:sz w:val="12"/>
                <w:szCs w:val="12"/>
                <w:color w:val="auto"/>
              </w:rPr>
            </w:pPr>
          </w:p>
        </w:tc>
        <w:tc>
          <w:tcPr>
            <w:tcW w:w="16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September 2023</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Kuwait</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Saudi Arabia</w:t>
            </w:r>
          </w:p>
        </w:tc>
        <w:tc>
          <w:tcPr>
            <w:tcW w:w="1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HLS</w:t>
            </w:r>
          </w:p>
        </w:tc>
        <w:tc>
          <w:tcPr>
            <w:tcW w:w="1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September 2017</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2020</w:t>
            </w:r>
          </w:p>
        </w:tc>
        <w:tc>
          <w:tcPr>
            <w:tcW w:w="0" w:type="dxa"/>
            <w:vAlign w:val="bottom"/>
          </w:tcPr>
          <w:p>
            <w:pPr>
              <w:spacing w:after="0"/>
              <w:rPr>
                <w:sz w:val="1"/>
                <w:szCs w:val="1"/>
                <w:color w:val="auto"/>
              </w:rPr>
            </w:pPr>
          </w:p>
        </w:tc>
      </w:tr>
      <w:tr>
        <w:trPr>
          <w:trHeight w:val="198"/>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CSL</w:t>
            </w:r>
          </w:p>
        </w:tc>
        <w:tc>
          <w:tcPr>
            <w:tcW w:w="100" w:type="dxa"/>
            <w:vAlign w:val="bottom"/>
          </w:tcPr>
          <w:p>
            <w:pPr>
              <w:spacing w:after="0"/>
              <w:rPr>
                <w:sz w:val="17"/>
                <w:szCs w:val="17"/>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2023</w:t>
            </w:r>
          </w:p>
        </w:tc>
        <w:tc>
          <w:tcPr>
            <w:tcW w:w="1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Australia</w:t>
            </w:r>
          </w:p>
        </w:tc>
        <w:tc>
          <w:tcPr>
            <w:tcW w:w="12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November 2022</w:t>
            </w:r>
          </w:p>
        </w:tc>
        <w:tc>
          <w:tcPr>
            <w:tcW w:w="120" w:type="dxa"/>
            <w:vAlign w:val="bottom"/>
          </w:tcPr>
          <w:p>
            <w:pPr>
              <w:spacing w:after="0"/>
              <w:rPr>
                <w:sz w:val="17"/>
                <w:szCs w:val="17"/>
                <w:color w:val="auto"/>
              </w:rPr>
            </w:pPr>
          </w:p>
        </w:tc>
        <w:tc>
          <w:tcPr>
            <w:tcW w:w="1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October 2024</w:t>
            </w:r>
          </w:p>
        </w:tc>
        <w:tc>
          <w:tcPr>
            <w:tcW w:w="0" w:type="dxa"/>
            <w:vAlign w:val="bottom"/>
          </w:tcPr>
          <w:p>
            <w:pPr>
              <w:spacing w:after="0"/>
              <w:rPr>
                <w:sz w:val="1"/>
                <w:szCs w:val="1"/>
                <w:color w:val="auto"/>
              </w:rPr>
            </w:pPr>
          </w:p>
        </w:tc>
      </w:tr>
      <w:tr>
        <w:trPr>
          <w:trHeight w:val="126"/>
        </w:trPr>
        <w:tc>
          <w:tcPr>
            <w:tcW w:w="1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New Zealand</w:t>
            </w:r>
          </w:p>
        </w:tc>
        <w:tc>
          <w:tcPr>
            <w:tcW w:w="120" w:type="dxa"/>
            <w:vAlign w:val="bottom"/>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120" w:type="dxa"/>
            <w:vAlign w:val="bottom"/>
          </w:tcPr>
          <w:p>
            <w:pPr>
              <w:spacing w:after="0"/>
              <w:rPr>
                <w:sz w:val="10"/>
                <w:szCs w:val="10"/>
                <w:color w:val="auto"/>
              </w:rPr>
            </w:pPr>
          </w:p>
        </w:tc>
        <w:tc>
          <w:tcPr>
            <w:tcW w:w="1600" w:type="dxa"/>
            <w:vAlign w:val="bottom"/>
            <w:vMerge w:val="restart"/>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 xml:space="preserve">Neopharm </w:t>
            </w:r>
            <w:r>
              <w:rPr>
                <w:rFonts w:ascii="Times New Roman" w:cs="Times New Roman" w:eastAsia="Times New Roman" w:hAnsi="Times New Roman"/>
                <w:sz w:val="24"/>
                <w:szCs w:val="24"/>
                <w:color w:val="auto"/>
                <w:w w:val="96"/>
                <w:vertAlign w:val="superscript"/>
              </w:rPr>
              <w:t>(3)</w:t>
            </w: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2023</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0" w:type="dxa"/>
            <w:vAlign w:val="bottom"/>
          </w:tcPr>
          <w:p>
            <w:pPr>
              <w:spacing w:after="0"/>
              <w:rPr>
                <w:sz w:val="1"/>
                <w:szCs w:val="1"/>
                <w:color w:val="auto"/>
              </w:rPr>
            </w:pPr>
          </w:p>
        </w:tc>
      </w:tr>
      <w:tr>
        <w:trPr>
          <w:trHeight w:val="270"/>
        </w:trPr>
        <w:tc>
          <w:tcPr>
            <w:tcW w:w="154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color w:val="auto"/>
                <w:w w:val="93"/>
              </w:rPr>
              <w:t xml:space="preserve">Lotus </w:t>
            </w:r>
            <w:r>
              <w:rPr>
                <w:rFonts w:ascii="Times New Roman" w:cs="Times New Roman" w:eastAsia="Times New Roman" w:hAnsi="Times New Roman"/>
                <w:sz w:val="24"/>
                <w:szCs w:val="24"/>
                <w:color w:val="auto"/>
                <w:w w:val="93"/>
                <w:vertAlign w:val="superscript"/>
              </w:rPr>
              <w:t>(4)</w:t>
            </w:r>
          </w:p>
        </w:tc>
        <w:tc>
          <w:tcPr>
            <w:tcW w:w="100" w:type="dxa"/>
            <w:vAlign w:val="bottom"/>
          </w:tcPr>
          <w:p>
            <w:pPr>
              <w:spacing w:after="0"/>
              <w:rPr>
                <w:sz w:val="23"/>
                <w:szCs w:val="23"/>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2023</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 Korea</w:t>
            </w:r>
          </w:p>
        </w:tc>
        <w:tc>
          <w:tcPr>
            <w:tcW w:w="12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2025</w:t>
            </w:r>
          </w:p>
        </w:tc>
        <w:tc>
          <w:tcPr>
            <w:tcW w:w="120" w:type="dxa"/>
            <w:vAlign w:val="bottom"/>
          </w:tcPr>
          <w:p>
            <w:pPr>
              <w:spacing w:after="0"/>
              <w:rPr>
                <w:sz w:val="23"/>
                <w:szCs w:val="23"/>
                <w:color w:val="auto"/>
              </w:rPr>
            </w:pPr>
          </w:p>
        </w:tc>
        <w:tc>
          <w:tcPr>
            <w:tcW w:w="16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Singapore</w:t>
            </w:r>
          </w:p>
        </w:tc>
        <w:tc>
          <w:tcPr>
            <w:tcW w:w="120" w:type="dxa"/>
            <w:vAlign w:val="bottom"/>
          </w:tcPr>
          <w:p>
            <w:pPr>
              <w:spacing w:after="0"/>
              <w:rPr>
                <w:sz w:val="9"/>
                <w:szCs w:val="9"/>
                <w:color w:val="auto"/>
              </w:rPr>
            </w:pPr>
          </w:p>
        </w:tc>
        <w:tc>
          <w:tcPr>
            <w:tcW w:w="184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212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December 2025</w:t>
            </w:r>
          </w:p>
        </w:tc>
        <w:tc>
          <w:tcPr>
            <w:tcW w:w="120" w:type="dxa"/>
            <w:vAlign w:val="bottom"/>
          </w:tcPr>
          <w:p>
            <w:pPr>
              <w:spacing w:after="0"/>
              <w:rPr>
                <w:sz w:val="9"/>
                <w:szCs w:val="9"/>
                <w:color w:val="auto"/>
              </w:rPr>
            </w:pPr>
          </w:p>
        </w:tc>
        <w:tc>
          <w:tcPr>
            <w:tcW w:w="1600" w:type="dxa"/>
            <w:vAlign w:val="bottom"/>
          </w:tcPr>
          <w:p>
            <w:pPr>
              <w:jc w:val="right"/>
              <w:ind w:right="673"/>
              <w:spacing w:after="0" w:line="11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68"/>
        </w:trPr>
        <w:tc>
          <w:tcPr>
            <w:tcW w:w="1540" w:type="dxa"/>
            <w:vAlign w:val="bottom"/>
          </w:tcPr>
          <w:p>
            <w:pPr>
              <w:jc w:val="center"/>
              <w:spacing w:after="0" w:line="267" w:lineRule="exact"/>
              <w:rPr>
                <w:sz w:val="20"/>
                <w:szCs w:val="20"/>
                <w:color w:val="auto"/>
              </w:rPr>
            </w:pPr>
            <w:r>
              <w:rPr>
                <w:rFonts w:ascii="Times New Roman" w:cs="Times New Roman" w:eastAsia="Times New Roman" w:hAnsi="Times New Roman"/>
                <w:sz w:val="18"/>
                <w:szCs w:val="18"/>
                <w:color w:val="auto"/>
                <w:w w:val="94"/>
              </w:rPr>
              <w:t xml:space="preserve">Recordati </w:t>
            </w:r>
            <w:r>
              <w:rPr>
                <w:rFonts w:ascii="Times New Roman" w:cs="Times New Roman" w:eastAsia="Times New Roman" w:hAnsi="Times New Roman"/>
                <w:sz w:val="24"/>
                <w:szCs w:val="24"/>
                <w:color w:val="auto"/>
                <w:w w:val="94"/>
                <w:vertAlign w:val="superscript"/>
              </w:rPr>
              <w:t>(5)</w:t>
            </w:r>
          </w:p>
        </w:tc>
        <w:tc>
          <w:tcPr>
            <w:tcW w:w="100" w:type="dxa"/>
            <w:vAlign w:val="bottom"/>
          </w:tcPr>
          <w:p>
            <w:pPr>
              <w:spacing w:after="0"/>
              <w:rPr>
                <w:sz w:val="23"/>
                <w:szCs w:val="23"/>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June 2025</w:t>
            </w:r>
          </w:p>
        </w:tc>
        <w:tc>
          <w:tcPr>
            <w:tcW w:w="1880" w:type="dxa"/>
            <w:vAlign w:val="bottom"/>
          </w:tcPr>
          <w:p>
            <w:pPr>
              <w:jc w:val="center"/>
              <w:spacing w:after="0" w:line="267" w:lineRule="exact"/>
              <w:rPr>
                <w:sz w:val="20"/>
                <w:szCs w:val="20"/>
                <w:color w:val="auto"/>
              </w:rPr>
            </w:pPr>
            <w:r>
              <w:rPr>
                <w:rFonts w:ascii="Times New Roman" w:cs="Times New Roman" w:eastAsia="Times New Roman" w:hAnsi="Times New Roman"/>
                <w:sz w:val="18"/>
                <w:szCs w:val="18"/>
                <w:color w:val="auto"/>
                <w:w w:val="93"/>
              </w:rPr>
              <w:t xml:space="preserve">Europe </w:t>
            </w:r>
            <w:r>
              <w:rPr>
                <w:rFonts w:ascii="Times New Roman" w:cs="Times New Roman" w:eastAsia="Times New Roman" w:hAnsi="Times New Roman"/>
                <w:sz w:val="24"/>
                <w:szCs w:val="24"/>
                <w:color w:val="auto"/>
                <w:w w:val="93"/>
                <w:vertAlign w:val="superscript"/>
              </w:rPr>
              <w:t>(6)</w:t>
            </w:r>
          </w:p>
        </w:tc>
        <w:tc>
          <w:tcPr>
            <w:tcW w:w="12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2021</w:t>
            </w:r>
          </w:p>
        </w:tc>
        <w:tc>
          <w:tcPr>
            <w:tcW w:w="1720" w:type="dxa"/>
            <w:vAlign w:val="bottom"/>
            <w:gridSpan w:val="2"/>
          </w:tcPr>
          <w:p>
            <w:pPr>
              <w:jc w:val="right"/>
              <w:ind w:right="61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6" w:lineRule="exact"/>
        <w:rPr>
          <w:sz w:val="20"/>
          <w:szCs w:val="20"/>
          <w:color w:val="auto"/>
        </w:rPr>
      </w:pPr>
    </w:p>
    <w:p>
      <w:pPr>
        <w:ind w:left="780" w:hanging="263"/>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 is under registration in Macau and Taiwan in the China Territory with Edding.</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 is under registration in additional countries in the MENA region with Biologix.</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 is under registration in additional countries in the Israel territory with Neopharm.</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 is under registration in additional countries in the ASEAN region with Lotus.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ind w:left="780" w:hanging="26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 is under registration in 59 countries focused in Europe with Recordati.</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table below for listing of European countries with VAZKEPA currently available.</w:t>
      </w:r>
    </w:p>
    <w:p>
      <w:pPr>
        <w:spacing w:after="0" w:line="11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2021, we received marketing authorization and regulatory approval in the EU, England, Wales and Scotland with 10 years of market protection and, in April 2024, we were issued a patent that extended our exclusivity to 2039.</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June 2025, we entered into an exclusive long-term license and supply agreement with Recordati, or the Recordati Licensing Agreement, related to the development and commercialization of VAZKEPA in 59 countries focused in Europe, or the Recordati Territory. As a result of the Recordati Licensing Agreement, Recordati is solely responsible for commercializing VAZKEPA in the Recordati Territory. Recordati may sell VAZKEPA pursuant to the product reimbursements we have already obtained in Europe, as shown below, and the agreements with existing partners in the Recordati Territory have been transitioned to Recordati. In addition, Recordati will use commercially reasonable efforts to pursue future product reimbursements and approvals in the Recordati Territory.</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73"/>
        </w:trPr>
        <w:tc>
          <w:tcPr>
            <w:tcW w:w="32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4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England/Wales/Northern Ireland</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Greece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2024</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2024</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2025</w:t>
            </w:r>
          </w:p>
        </w:tc>
        <w:tc>
          <w:tcPr>
            <w:tcW w:w="0" w:type="dxa"/>
            <w:vAlign w:val="bottom"/>
          </w:tcPr>
          <w:p>
            <w:pPr>
              <w:spacing w:after="0"/>
              <w:rPr>
                <w:sz w:val="1"/>
                <w:szCs w:val="1"/>
                <w:color w:val="auto"/>
              </w:rPr>
            </w:pPr>
          </w:p>
        </w:tc>
      </w:tr>
      <w:tr>
        <w:trPr>
          <w:trHeight w:val="216"/>
        </w:trPr>
        <w:tc>
          <w:tcPr>
            <w:tcW w:w="32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Slovenia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2025</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2025</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Romania </w:t>
            </w:r>
            <w:r>
              <w:rPr>
                <w:rFonts w:ascii="Times New Roman" w:cs="Times New Roman" w:eastAsia="Times New Roman" w:hAnsi="Times New Roman"/>
                <w:sz w:val="24"/>
                <w:szCs w:val="24"/>
                <w:color w:val="auto"/>
                <w:vertAlign w:val="superscript"/>
              </w:rPr>
              <w:t>(3)</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2026</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2022</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2025</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2026</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Denmark</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2022</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80" w:hanging="263"/>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Vianex will be the sole and exclusive distributor of VAZKEPA in the Greek territory to import, register, distribute and commercialize</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VAZKEPA.</w:t>
      </w:r>
    </w:p>
    <w:p>
      <w:pPr>
        <w:spacing w:after="0" w:line="98"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Salus will be the sole and exclusive distributor of VAZKEPA in the Slovenian territory to import, register, distribute and commercialize</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VAZKEPA.</w:t>
      </w:r>
    </w:p>
    <w:p>
      <w:pPr>
        <w:spacing w:after="0" w:line="98" w:lineRule="exact"/>
        <w:rPr>
          <w:rFonts w:ascii="Times New Roman" w:cs="Times New Roman" w:eastAsia="Times New Roman" w:hAnsi="Times New Roman"/>
          <w:sz w:val="18"/>
          <w:szCs w:val="18"/>
          <w:color w:val="auto"/>
        </w:rPr>
      </w:pPr>
    </w:p>
    <w:p>
      <w:pPr>
        <w:ind w:left="520" w:right="1160" w:hanging="3"/>
        <w:spacing w:after="0" w:line="282" w:lineRule="auto"/>
        <w:tabs>
          <w:tab w:leader="none" w:pos="7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Magnapharm will be the sole and exclusive distributor of VAZKEPA in the Romanian territory to import, register, distribute and commercialize VAZKEPA.</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we received regulatory approval in Switzerland by the Swiss Agency for Therapeutic Products, or Swissmedic. VAZKEPA has been made available in Switzerland under individual reimbursement since January 2023.</w:t>
      </w:r>
    </w:p>
    <w:p>
      <w:pPr>
        <w:spacing w:after="0" w:line="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are responsible for supplying finished product to these partners. We continue to assess other potential partnership opportunities for VASCEPA with companies with the intention of partnering in all other international markets where VASCEPA receives local regulatory approval.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Since its inception in 2011, the REDUCE-IT CV outcomes study of VASCEPA has been the centerpiece of our research and development. We also continue to study the potential mechanisms of action of the single active ingredient in VASCEPA, IPE. Based on the final positive results of REDUCE-IT, we sought additional indicated uses for VASCEPA in the U.S. and continue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Quarterly Report, more than 70 clinical treatment guidelines, consensus statements or scientific statements from global medical or scientific societies or within peer reviewed journals have recognized the use of IPE in appropriate at-risk patients for CV risk reductions, including those statements which we were informed of by our global partners as well as guidelines which were newly received during the third quarter of 2026 as listed below:</w:t>
      </w:r>
    </w:p>
    <w:p>
      <w:pPr>
        <w:spacing w:after="0" w:line="72" w:lineRule="exact"/>
        <w:rPr>
          <w:sz w:val="20"/>
          <w:szCs w:val="20"/>
          <w:color w:val="auto"/>
        </w:rPr>
      </w:pPr>
    </w:p>
    <w:p>
      <w:pPr>
        <w:ind w:left="1020" w:right="240" w:hanging="503"/>
        <w:spacing w:after="0" w:line="276"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2026, the Saudi Heart Association released a focused update; Guidelines on Best Practices in the Management of Chronic Coronary Syndromes, or CCS. The update stated the addition of IPE should be considered for statin-treated CCS patients with persistently</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elevated TGs (135-499 mg / dL) and controlled LDL-C (&lt;100 mg / dL) to reduce the residual CV risk.</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ind w:left="1020" w:right="16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2026, the iCARDIO Alliance released Global Implementation Guidelines on Ischemic Heart Disease, or IHD, stating in the treatment of chronic IHD – lipid management, IPE (2-grams twice daily) may be used in patients with IHD and hypertriglyceridemia (&gt;150 mg/dL).</w:t>
      </w:r>
    </w:p>
    <w:p>
      <w:pPr>
        <w:spacing w:after="0" w:line="67" w:lineRule="exact"/>
        <w:rPr>
          <w:rFonts w:ascii="Times New Roman" w:cs="Times New Roman" w:eastAsia="Times New Roman" w:hAnsi="Times New Roman"/>
          <w:sz w:val="18"/>
          <w:szCs w:val="18"/>
          <w:color w:val="auto"/>
        </w:rPr>
      </w:pPr>
    </w:p>
    <w:p>
      <w:pPr>
        <w:ind w:left="1020" w:right="100" w:hanging="503"/>
        <w:spacing w:after="0" w:line="25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2026, the European Society of Cardiology, or ESC, released Guidelines for the Management of CV Disease and Chronic Kidney Disease, in collaboration with the European Renal Association, or ERA. The release stated treatment with IPE as add-on therapy to a statin may be considered in patients with CCS and chronic kidney disease (estimated glomerular filtration rate, or eGFR, ≥30 mL/min/1.73m2) with a fasting TGs level &gt;1.5 mmol/L (&gt;135 mg/dL) and LDL-C &gt; 1.04 mmol/L (&gt;40 mg/dL) to reduce the risk of major adverse CV events (Class IIa recommendation; Level B evidence). Additionally, relative risk reductions were consistent across subgroups divided by eGFR at baseline, with absolute benefits largest in patients with eGFR &lt;60mL/min/1.73m2 by virtue of their higher baseline risk of CV disease.</w:t>
      </w:r>
    </w:p>
    <w:p>
      <w:pPr>
        <w:spacing w:after="0" w:line="79"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2026, the U.S. Department of Veterans Affairs and U.S. Department of Defense published a synopsis of its 2025 Clinical Practice Guideline for Lipid Management for CV Disease Risk Reduction. The synopsis suggests using IPE, as a secondary prevention, in patients on statin therapy with persistently elevated fasting TGs ≥150 mg/dL. Additionally, for primary or secondary prevention, it suggested against the use of omega-3 fatty acids as a dietary supplement or any omega-3 formulation other than IPE.</w:t>
      </w:r>
    </w:p>
    <w:p>
      <w:pPr>
        <w:spacing w:after="0" w:line="7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July 2026, at the Schlieren Research meeting, researchers from the University of Zurich in collaboration with Amarin presented data on the effects of IPE on circulating tissue factor from both a mechanistic perspective and insights from within REDUCE-IT.</w:t>
      </w:r>
    </w:p>
    <w:p>
      <w:pPr>
        <w:spacing w:after="0" w:line="54"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August 2026, at the ESC congress, in Munich, Germany, Amarin and global collaborators supported 5 separate data presentations covering benefits of treatment adherence and legacy effect, long-term CV outcomes, lipoprotein(a) [Lp(a)] biology, coagulation biomarkers, and potential mechanistic pathways associated with eicosapentaenoic acid, or EPA, and IPE. The presentations build upon the significant body of evidence generated from REDUCE-IT and related scientific investigations.</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August 2026, at the Annual Scientific Meeting of the Cardiac Society of Australia and New Zealand held in Sydney, Australia, our partner CSL, through support from us, and collaborators presented encore data on the benefits of IPE in patients with Prior Peripheral Artery Disease: REDUCE-IT PAD. CSL also presented data on emerging prescribing patterns of VAZKEPA by gender and age in Australia.</w:t>
      </w:r>
    </w:p>
    <w:p>
      <w:pPr>
        <w:spacing w:after="0" w:line="6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Amarin and global medical and scientific collaborators supported a total of 26 publications inclusive of accepted abstracts, posters, and manuscripts.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manage the manufacturing and supply of VASCEPA and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in the U.S. We also have multiple international API suppliers, encapsulators and packagers to support the commercialization of VASCEPA in geographies where the drug is approved outside the U.S.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We continue to negotiate with our contract suppliers to align our supply arrangements with current and future global market demand. As of September 30, 2026, we had inventory of $158.9 million.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U.S., VASCEPA is sold to three major wholesalers, several regional wholesalers along with mail order pharmacy providers that in turn resell the product to retail pharmacies, as well as directly to select regional retail pharmacy chains, or collectively, our distributors or our customers. Most of these customers resell VASCEPA to retail pharmacies for purposes of dispensing VASCEPA to patients. Revenues from VASCEPA sales are recognized upon delivery to the distributor or customer. Timing of shipments to wholesalers, as used for revenue recognition, and timing of prescriptions as estimated by third-party sources such as Symphony Health may differ from period to period. Our product revenue, net included adjustment for co-pay mitigation rebates provided by us to commercially insured patients in the U.S.</w:t>
      </w:r>
    </w:p>
    <w:p>
      <w:pPr>
        <w:spacing w:after="0" w:line="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Outside of the U.S.,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w:t>
      </w:r>
    </w:p>
    <w:p>
      <w:pPr>
        <w:spacing w:after="0" w:line="212"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U.S. We recognize revenue from licensing arrangements as we fulfill the performance obligations under each of the agreements. As part of our licensing agreements with certain territories outside of the U.S., we are entitled to a percentage of revenue earned based on sales by our partners. The royalty payments are being recognized when the uncertainty related to the consideration is resolved.</w:t>
      </w:r>
    </w:p>
    <w:p>
      <w:pPr>
        <w:spacing w:after="0" w:line="21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Cost of goods sold may vary by region due to regional approval requirements. Our cost of goods sold is not materially impacted by whether we sell VASCEPA directly in a country or we sell VASCEPA to a commercial partner for resale in a country.</w:t>
      </w:r>
    </w:p>
    <w:p>
      <w:pPr>
        <w:spacing w:after="0" w:line="210" w:lineRule="exact"/>
        <w:rPr>
          <w:sz w:val="20"/>
          <w:szCs w:val="20"/>
          <w:color w:val="auto"/>
        </w:rPr>
      </w:pPr>
    </w:p>
    <w:p>
      <w:pPr>
        <w:jc w:val="both"/>
        <w:ind w:right="5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marketing, executive, business development, finance and information technology functions. Other costs primarily include facility costs and professional fees for accounting, consulting and legal services.</w:t>
      </w:r>
    </w:p>
    <w:p>
      <w:pPr>
        <w:spacing w:after="0" w:line="20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210"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consists of restructuring costs incurred under our June 2025 Global Restructuring Plan, which consists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severance pay, incentive compensation, insurance benefits, stock-based compensation and other contract related costs.</w:t>
      </w:r>
    </w:p>
    <w:p>
      <w:pPr>
        <w:spacing w:after="0" w:line="185" w:lineRule="exact"/>
        <w:rPr>
          <w:sz w:val="20"/>
          <w:szCs w:val="20"/>
          <w:color w:val="auto"/>
        </w:rPr>
      </w:pPr>
    </w:p>
    <w:p>
      <w:pPr>
        <w:ind w:right="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 net and other income, net</w:t>
      </w:r>
      <w:r>
        <w:rPr>
          <w:rFonts w:ascii="Times New Roman" w:cs="Times New Roman" w:eastAsia="Times New Roman" w:hAnsi="Times New Roman"/>
          <w:sz w:val="18"/>
          <w:szCs w:val="18"/>
          <w:color w:val="auto"/>
        </w:rPr>
        <w:t>. Interest income, net, consists primarily of interest earned on our cash and cash equivalents, as well as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short-term investments. Other income, net, consists of foreign exchange losses and gains as well as sublease income.</w:t>
      </w:r>
    </w:p>
    <w:p>
      <w:pPr>
        <w:spacing w:after="0" w:line="18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Benefit from (provision for) income taxes. </w:t>
      </w:r>
      <w:r>
        <w:rPr>
          <w:rFonts w:ascii="Times New Roman" w:cs="Times New Roman" w:eastAsia="Times New Roman" w:hAnsi="Times New Roman"/>
          <w:sz w:val="18"/>
          <w:szCs w:val="18"/>
          <w:color w:val="auto"/>
        </w:rPr>
        <w:t>Benefit from (provision for) income taxes, deferred tax assets and liabilities, and reserves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unrecognized tax benefits reflect management’s best assessment of estimated future taxes to be paid. We are subject to income taxes in both the U.S. and foreign jurisdictions. In applying guidance prescribed under ASC 740 and based on present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3" w:name="page34"/>
    <w:bookmarkEnd w:id="33"/>
    <w:p>
      <w:pPr>
        <w:ind w:right="140"/>
        <w:spacing w:after="0" w:line="282" w:lineRule="auto"/>
        <w:rPr>
          <w:sz w:val="20"/>
          <w:szCs w:val="20"/>
          <w:color w:val="auto"/>
        </w:rPr>
      </w:pPr>
      <w:r>
        <w:rPr>
          <w:rFonts w:ascii="Times New Roman" w:cs="Times New Roman" w:eastAsia="Times New Roman" w:hAnsi="Times New Roman"/>
          <w:sz w:val="18"/>
          <w:szCs w:val="18"/>
          <w:color w:val="auto"/>
        </w:rPr>
        <w:t>evidence and conclusions around the realizability of deferred tax assets, we determined that any tax benefit related to the pretax losses generated for 2026 and 2025 are not more likely than not to be realized.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unaudited condensed consolidated financial statements and notes, which have been prepared in accordance with accounting principles generally accepted in the U.S., or GAAP. The preparation of these condensed consolidated financial statements requires us to make estimates and judgments that affect the reported amounts of assets, liabilities, revenue and expenses. On an ongoing basis, estimates are assessed and adjusted based on historical experience and current market-specific indicators, environment and assumptions. Actual results may differ from these estimates under different assumptions or conditions. A summary of our critical accounting policies, significant judgments and estimates is presented in Part II, Item 7 of our Annual Report. There have been no material changes to our critical accounting policies, significant judgments and estimates described in our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in the accompanying Notes to our unaudited condensed consolidated financial statements included elsewhere in this Quarterly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2026 and September 30, 2025</w:t>
      </w:r>
    </w:p>
    <w:p>
      <w:pPr>
        <w:spacing w:after="0" w:line="2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$39.6 million and $49.7 million during the three months ended September 30, 2026 and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$10.1 million, or 20%. Total revenue, net, consists primarily of revenue from the sale of VASCEPA in the U.S. In addition to the U.S., during the three months ended September 30, 2026, we also sold VASCEPA by prescription in certain countries outside of the U.S. through collaborations with third-party companies. As further discussed below, the aforementioned decrease was due primarily to a $12.3 million decrease in U.S. net product revenue offset by a $1.5 million increase in licensing and royalty revenue and a $0.7 million increase in net product revenue outside of the U.S.</w:t>
      </w:r>
    </w:p>
    <w:p>
      <w:pPr>
        <w:spacing w:after="0" w:line="210" w:lineRule="exact"/>
        <w:rPr>
          <w:sz w:val="20"/>
          <w:szCs w:val="20"/>
          <w:color w:val="auto"/>
        </w:rPr>
      </w:pPr>
    </w:p>
    <w:p>
      <w:pPr>
        <w:jc w:val="both"/>
        <w:ind w:right="20" w:firstLine="539"/>
        <w:spacing w:after="0" w:line="267"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We recorded product revenue, net, of $36.9 million and $48.6 million during the three months ended September 30, 2026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respectively, a decrease of $11.7 million, or 24%. This decrease was due primarily to a decrease in VASCEPA price within the U.S. offset in part by higher sales to our partners.</w:t>
      </w:r>
    </w:p>
    <w:p>
      <w:pPr>
        <w:spacing w:after="0" w:line="67" w:lineRule="exact"/>
        <w:rPr>
          <w:sz w:val="20"/>
          <w:szCs w:val="20"/>
          <w:color w:val="auto"/>
        </w:rPr>
      </w:pPr>
    </w:p>
    <w:p>
      <w:pPr>
        <w:ind w:right="800" w:firstLine="539"/>
        <w:spacing w:after="0" w:line="282" w:lineRule="auto"/>
        <w:rPr>
          <w:sz w:val="20"/>
          <w:szCs w:val="20"/>
          <w:color w:val="auto"/>
        </w:rPr>
      </w:pPr>
      <w:r>
        <w:rPr>
          <w:rFonts w:ascii="Times New Roman" w:cs="Times New Roman" w:eastAsia="Times New Roman" w:hAnsi="Times New Roman"/>
          <w:sz w:val="18"/>
          <w:szCs w:val="18"/>
          <w:color w:val="auto"/>
        </w:rPr>
        <w:t>We recorded U.S. product revenue, net, of $28.5 million and $40.9 million during the three months ended September 30, 2026 and 2025, respectively. This decrease was primarily due to a lower net selling price associated with changes in customer mix.</w:t>
      </w:r>
    </w:p>
    <w:p>
      <w:pPr>
        <w:spacing w:after="0" w:line="54" w:lineRule="exact"/>
        <w:rPr>
          <w:sz w:val="20"/>
          <w:szCs w:val="20"/>
          <w:color w:val="auto"/>
        </w:rPr>
      </w:pPr>
    </w:p>
    <w:p>
      <w:pPr>
        <w:ind w:right="360" w:firstLine="539"/>
        <w:spacing w:after="0" w:line="258" w:lineRule="auto"/>
        <w:rPr>
          <w:sz w:val="20"/>
          <w:szCs w:val="20"/>
          <w:color w:val="auto"/>
        </w:rPr>
      </w:pPr>
      <w:r>
        <w:rPr>
          <w:rFonts w:ascii="Times New Roman" w:cs="Times New Roman" w:eastAsia="Times New Roman" w:hAnsi="Times New Roman"/>
          <w:sz w:val="18"/>
          <w:szCs w:val="18"/>
          <w:color w:val="auto"/>
        </w:rPr>
        <w:t>The overall IPE market in the U.S., based on prescription levels reported by Symphony Health, increased by 7% for the three months ended September 30, 2026 compared to the three months ended September 30, 2025. Our share of the IPE market has decreased to approximately 47% in the three months ended September 30, 2026 compared to approximately 51% in the three months ended September 30, 2025. Additionally, based on prescription levels reported by Symphony Health, VASCEPA-branded prescriptions decreased by 1% in the three months ended September 30, 2026 compared to the three months ended September 30, 2025.</w:t>
      </w:r>
    </w:p>
    <w:p>
      <w:pPr>
        <w:spacing w:after="0" w:line="75" w:lineRule="exact"/>
        <w:rPr>
          <w:sz w:val="20"/>
          <w:szCs w:val="20"/>
          <w:color w:val="auto"/>
        </w:rPr>
      </w:pPr>
    </w:p>
    <w:p>
      <w:pPr>
        <w:ind w:right="100" w:firstLine="539"/>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we recorded RoW product revenue, net, of $4.7 million from our six collaboration partners, comprising multiple distinct geographies, compared to $3.6 million during the three months ended September 30, 2025. For the three months ended September 30, 2026, we recorded Europe product revenue, net, of $3.7 million compared to $4.1 million during the three months ended September 30, 2025. The fluctuations in product revenue, net, from our partners reflects normal variability across the multiple geographies encompassing this early stage of developing ex-U.S. markets.</w:t>
      </w:r>
    </w:p>
    <w:p>
      <w:pPr>
        <w:spacing w:after="0" w:line="75" w:lineRule="exact"/>
        <w:rPr>
          <w:sz w:val="20"/>
          <w:szCs w:val="20"/>
          <w:color w:val="auto"/>
        </w:rPr>
      </w:pPr>
    </w:p>
    <w:p>
      <w:pPr>
        <w:ind w:right="520" w:firstLine="539"/>
        <w:spacing w:after="0" w:line="272" w:lineRule="auto"/>
        <w:rPr>
          <w:sz w:val="20"/>
          <w:szCs w:val="20"/>
          <w:color w:val="auto"/>
        </w:rPr>
      </w:pPr>
      <w:r>
        <w:rPr>
          <w:rFonts w:ascii="Times New Roman" w:cs="Times New Roman" w:eastAsia="Times New Roman" w:hAnsi="Times New Roman"/>
          <w:sz w:val="17"/>
          <w:szCs w:val="17"/>
          <w:color w:val="auto"/>
        </w:rPr>
        <w:t>Despite the generic competition in the U.S., we remain confident that the global patient need for VASCEPA is high. We continue to (i) competitively manage our market leadership in the U.S., and (ii) drive expanded access and increased patient uptake of VASCEPA through ongoing support of our commercialization partners and their pricing, reimbursement and licensure initiatives in non-U.S. geographies around the world.</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34" w:name="page35"/>
    <w:bookmarkEnd w:id="34"/>
    <w:p>
      <w:pPr>
        <w:ind w:right="2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three months ended September 30, 2026 and 2025 was $2.7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 million, respectively, an increase of $1.5 million, or 139%. This increase was primarily due to increased partner sales within their respective territories.</w:t>
      </w:r>
    </w:p>
    <w:p>
      <w:pPr>
        <w:spacing w:after="0" w:line="6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U.S., we are entitled to a percentage of revenue earned based on sales by our partners. Royalty payments are recognized based on revenue reported by our partners. The amount of licensing and royalty revenue is expected to vary from period to period based on timing of milestones achieved and select partner sales within respective territories.</w:t>
      </w:r>
    </w:p>
    <w:p>
      <w:pPr>
        <w:spacing w:after="0" w:line="20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three months ended September 30, 2026 and 2025 was $23.4 million and $27.5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$4.1 million, or 15%. This decrease in cost of goods sold was due to decreased product volumes.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7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quarters ended September 30, 2026 and 2025 was sourced from multiple API suppliers. These suppliers compete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overall gross margin on product sales for the three months ended September 30, 2026 and 2025 was 37% and 43%, respectively. The decrease in gross margin was primarily as a result of a change in customer mix.</w:t>
      </w:r>
    </w:p>
    <w:p>
      <w:pPr>
        <w:spacing w:after="0" w:line="187"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three months ended September 30, 2026 and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$14.3 million and $19.7 million, respectively, a decrease of $5.4 million, or 27%. Selling, general and administrative expenses for the three months ended September 30, 2026 and 2025 are summarized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5"/>
                <w:szCs w:val="15"/>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7320" w:type="dxa"/>
            <w:vAlign w:val="bottom"/>
            <w:gridSpan w:val="3"/>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8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14,336</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-265430</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-265430</wp:posOffset>
            </wp:positionV>
            <wp:extent cx="51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 w:lineRule="exact"/>
        <w:rPr>
          <w:sz w:val="20"/>
          <w:szCs w:val="20"/>
          <w:color w:val="auto"/>
        </w:rPr>
      </w:pPr>
    </w:p>
    <w:p>
      <w:pPr>
        <w:ind w:left="480" w:hanging="383"/>
        <w:spacing w:after="0" w:line="273"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three months ended September 30, 2026 and 2025 was $3.1 million and $5.4 million, respectively, a decrease of $2.3 million, or 43%. This decrease was primarily due to a reduction in costs associated with the Global Restructuring Plan.</w:t>
      </w:r>
    </w:p>
    <w:p>
      <w:pPr>
        <w:spacing w:after="0" w:line="1" w:lineRule="exact"/>
        <w:rPr>
          <w:rFonts w:ascii="Times New Roman" w:cs="Times New Roman" w:eastAsia="Times New Roman" w:hAnsi="Times New Roman"/>
          <w:sz w:val="18"/>
          <w:szCs w:val="18"/>
          <w:color w:val="auto"/>
        </w:rPr>
      </w:pPr>
    </w:p>
    <w:p>
      <w:pPr>
        <w:jc w:val="both"/>
        <w:ind w:left="480" w:right="180" w:hanging="383"/>
        <w:spacing w:after="0" w:line="260"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three months ended September 30, 2026 and 2025 was $10.2 million and $12.6 million, respectively, a decrease of $2.4 million, or 19%. This decrease was primarily due to a decrease in employee-related costs as a result of the reduction in force from the Global Restructuring Plan.</w:t>
      </w:r>
    </w:p>
    <w:p>
      <w:pPr>
        <w:spacing w:after="0" w:line="2" w:lineRule="exact"/>
        <w:rPr>
          <w:rFonts w:ascii="Times New Roman" w:cs="Times New Roman" w:eastAsia="Times New Roman" w:hAnsi="Times New Roman"/>
          <w:sz w:val="18"/>
          <w:szCs w:val="18"/>
          <w:color w:val="auto"/>
        </w:rPr>
      </w:pPr>
    </w:p>
    <w:p>
      <w:pPr>
        <w:ind w:left="480" w:right="140" w:hanging="383"/>
        <w:spacing w:after="0" w:line="266"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three months ended September 30, 2026 and 2025 was $1.1 million and $1.8 million, respectively, a decrease of $0.7 million, or 39%. Non-cash stock-based compensation expense represents the estimated costs associated with equity awards issued to internal personnel supporting our selling, general and administrative functions.</w:t>
      </w:r>
    </w:p>
    <w:p>
      <w:pPr>
        <w:spacing w:after="0" w:line="68" w:lineRule="exact"/>
        <w:rPr>
          <w:sz w:val="20"/>
          <w:szCs w:val="20"/>
          <w:color w:val="auto"/>
        </w:rPr>
      </w:pPr>
    </w:p>
    <w:p>
      <w:pPr>
        <w:ind w:right="500" w:firstLine="539"/>
        <w:spacing w:after="0" w:line="261" w:lineRule="auto"/>
        <w:rPr>
          <w:sz w:val="20"/>
          <w:szCs w:val="20"/>
          <w:color w:val="auto"/>
        </w:rPr>
      </w:pPr>
      <w:r>
        <w:rPr>
          <w:rFonts w:ascii="Times New Roman" w:cs="Times New Roman" w:eastAsia="Times New Roman" w:hAnsi="Times New Roman"/>
          <w:sz w:val="18"/>
          <w:szCs w:val="18"/>
          <w:color w:val="auto"/>
        </w:rPr>
        <w:t>We will continue to manage our spending commitments to support our partners advancing commercialization and pricing and reimbursement efforts, as well as maintaining market leadership in the U.S.</w:t>
      </w: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6" w:right="35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remained consistent for the three months ended September 30, 2026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at $4.2 million. Research and development expenses for the three months ended September 30, 2026 and 2025 are summarized in the table below:</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54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REDUCE-IT study and presentations </w:t>
            </w:r>
            <w:r>
              <w:rPr>
                <w:rFonts w:ascii="Times New Roman" w:cs="Times New Roman" w:eastAsia="Times New Roman" w:hAnsi="Times New Roman"/>
                <w:sz w:val="24"/>
                <w:szCs w:val="24"/>
                <w:color w:val="auto"/>
                <w:vertAlign w:val="superscript"/>
              </w:rPr>
              <w:t>(1)</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(2)</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Non-clinical research activities </w:t>
            </w:r>
            <w:r>
              <w:rPr>
                <w:rFonts w:ascii="Times New Roman" w:cs="Times New Roman" w:eastAsia="Times New Roman" w:hAnsi="Times New Roman"/>
                <w:sz w:val="24"/>
                <w:szCs w:val="24"/>
                <w:color w:val="auto"/>
                <w:vertAlign w:val="superscript"/>
              </w:rPr>
              <w:t>(3)</w:t>
            </w: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(4)</w:t>
            </w:r>
          </w:p>
        </w:tc>
        <w:tc>
          <w:tcPr>
            <w:tcW w:w="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(5)</w:t>
            </w:r>
          </w:p>
        </w:tc>
        <w:tc>
          <w:tcPr>
            <w:tcW w:w="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ind w:left="520" w:right="80" w:hanging="512"/>
        <w:spacing w:after="0" w:line="273"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REDUCE-IT study and publications expenses consist primarily of costs incurred to maintain the REDUCE-IT trial data as well as support provided to present at conferences and to provide data to be published in medical journals.</w:t>
      </w:r>
    </w:p>
    <w:p>
      <w:pPr>
        <w:spacing w:after="0" w:line="1" w:lineRule="exact"/>
        <w:rPr>
          <w:rFonts w:ascii="Times New Roman" w:cs="Times New Roman" w:eastAsia="Times New Roman" w:hAnsi="Times New Roman"/>
          <w:sz w:val="18"/>
          <w:szCs w:val="18"/>
          <w:color w:val="auto"/>
        </w:rPr>
      </w:pPr>
    </w:p>
    <w:p>
      <w:pPr>
        <w:jc w:val="both"/>
        <w:ind w:left="520" w:right="12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filing fees are primarily related to the preparation, submission and review defense of regulatory filings as well as assistance with securing and maintaining regulatory approvals for qualifying suppliers for VASCEPA in the U.S. and Europe as well as regulatory expansion in the rest of the world.</w:t>
      </w: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research activities are primarily related to ongoing experiments and analyses further exploring the potential biological activities of IPE.</w:t>
      </w:r>
    </w:p>
    <w:p>
      <w:pPr>
        <w:spacing w:after="0" w:line="36"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various other activities, including other costs in collaboration with Mochida.</w:t>
      </w:r>
    </w:p>
    <w:p>
      <w:pPr>
        <w:spacing w:after="0" w:line="4"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54" w:lineRule="exact"/>
        <w:rPr>
          <w:sz w:val="20"/>
          <w:szCs w:val="20"/>
          <w:color w:val="auto"/>
        </w:rPr>
      </w:pPr>
    </w:p>
    <w:p>
      <w:pPr>
        <w:ind w:right="240" w:firstLine="509"/>
        <w:spacing w:after="0" w:line="312" w:lineRule="auto"/>
        <w:rPr>
          <w:sz w:val="20"/>
          <w:szCs w:val="20"/>
          <w:color w:val="auto"/>
        </w:rPr>
      </w:pPr>
      <w:r>
        <w:rPr>
          <w:rFonts w:ascii="Times New Roman" w:cs="Times New Roman" w:eastAsia="Times New Roman" w:hAnsi="Times New Roman"/>
          <w:sz w:val="17"/>
          <w:szCs w:val="17"/>
          <w:color w:val="auto"/>
        </w:rPr>
        <w:t>We continuously evaluate all of our research and development investment commitments and priorities and are prepared to adjust such investment levels based on various factors, including the impact of U.S. generic competition, as well as timing of pricing reimbursements throughout the world.</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three months ended September 30, 2026 and 2025 was nil and $9.4 million,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charges in the prior year are due to the implementation of the Global Restructuring Plan associated with the execution of the Recordati Licensing Agreement announced on June 24, 2025, which resulted in the elimination of commercial roles in the Company’s European operations. Refer to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for additional information.</w:t>
      </w:r>
    </w:p>
    <w:p>
      <w:pPr>
        <w:spacing w:after="0" w:line="207" w:lineRule="exact"/>
        <w:rPr>
          <w:sz w:val="20"/>
          <w:szCs w:val="20"/>
          <w:color w:val="auto"/>
        </w:rPr>
      </w:pPr>
    </w:p>
    <w:p>
      <w:pPr>
        <w:jc w:val="both"/>
        <w:ind w:right="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three months ended September 30, 2026 and 2025 was $2.4 million and $2.8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decrease of $0.4 million, or 15%. Interest income, net, represents income earned on cash and investment balances.</w:t>
      </w:r>
    </w:p>
    <w:p>
      <w:pPr>
        <w:spacing w:after="0" w:line="185" w:lineRule="exact"/>
        <w:rPr>
          <w:sz w:val="20"/>
          <w:szCs w:val="20"/>
          <w:color w:val="auto"/>
        </w:rPr>
      </w:pPr>
    </w:p>
    <w:p>
      <w:pPr>
        <w:jc w:val="both"/>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for the three months ended September 30, 2026 and 2025 was $0.3 million and $0.2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$0.1 million, or 48%. Other income, net, primarily consists of gains and losses on foreign exchange transactions and sublease income related to our Bridgewater, New Jersey facility.</w:t>
      </w:r>
    </w:p>
    <w:p>
      <w:pPr>
        <w:spacing w:after="0" w:line="20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benefit from income taxes. </w:t>
      </w:r>
      <w:r>
        <w:rPr>
          <w:rFonts w:ascii="Times New Roman" w:cs="Times New Roman" w:eastAsia="Times New Roman" w:hAnsi="Times New Roman"/>
          <w:sz w:val="18"/>
          <w:szCs w:val="18"/>
          <w:color w:val="auto"/>
        </w:rPr>
        <w:t>(Provision for) benefit from income taxes for the three months ended September 30, 2026 and 2025 was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of $0.1 million and a benefit of $0.4 million, respectively. The provision for the three months ended September 30, 2026 is the result of changes in income generated by our U.S. and foreign operations for which tax expense has been recognized based on a full-year estimated U.S. and foreign income tax liability.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2026 and September 30, 2025</w:t>
      </w:r>
    </w:p>
    <w:p>
      <w:pPr>
        <w:spacing w:after="0" w:line="2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$126.9 million and $164.4 million during the nine months ended September 30, 2026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respectively, a decrease of $37.5 million, or 23%. Total revenue, net, consists primarily of revenue from the sale of VASCEPA in the U.S. In addition to the U.S., during the nine months ended September 30, 2026, we also sold VASCEPA by prescription in certain countries outside of the U.S. through collaborations with third-party companies. As further discussed below, the aforementioned decrease was due primarily to a $20.6 million decrease in licensing and royalty revenue, a $16.6 million decrease in U.S. net product revenue and a $0.3 million decrease in net product revenue outside of the U.S.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6" w:right="359" w:bottom="1440" w:gutter="0" w:footer="0" w:header="0"/>
        </w:sectPr>
      </w:pPr>
    </w:p>
    <w:bookmarkStart w:id="36" w:name="page37"/>
    <w:bookmarkEnd w:id="36"/>
    <w:p>
      <w:pPr>
        <w:ind w:right="200" w:firstLine="5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product revenue, net, of $119.3 million and $136.2 million during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2025, respectively, a decrease of $16.9 million, or 12%. This decrease was due primarily to a decrease in VASCEPA price within the U.S. and transition of European operations to Recordati offset by higher sales to our RoW partners.</w:t>
      </w:r>
    </w:p>
    <w:p>
      <w:pPr>
        <w:spacing w:after="0" w:line="67" w:lineRule="exact"/>
        <w:rPr>
          <w:sz w:val="20"/>
          <w:szCs w:val="20"/>
          <w:color w:val="auto"/>
        </w:rPr>
      </w:pPr>
    </w:p>
    <w:p>
      <w:pPr>
        <w:ind w:right="780" w:firstLine="539"/>
        <w:spacing w:after="0" w:line="282" w:lineRule="auto"/>
        <w:rPr>
          <w:sz w:val="20"/>
          <w:szCs w:val="20"/>
          <w:color w:val="auto"/>
        </w:rPr>
      </w:pPr>
      <w:r>
        <w:rPr>
          <w:rFonts w:ascii="Times New Roman" w:cs="Times New Roman" w:eastAsia="Times New Roman" w:hAnsi="Times New Roman"/>
          <w:sz w:val="18"/>
          <w:szCs w:val="18"/>
          <w:color w:val="auto"/>
        </w:rPr>
        <w:t>We recorded U.S. product revenue, net, of $96.4 million and $113.0 million during the nine months ended September 30, 2026 and 2025, respectively. This decrease was primarily due to a lower net selling price associated with changes in customer mix.</w:t>
      </w:r>
    </w:p>
    <w:p>
      <w:pPr>
        <w:spacing w:after="0" w:line="54" w:lineRule="exact"/>
        <w:rPr>
          <w:sz w:val="20"/>
          <w:szCs w:val="20"/>
          <w:color w:val="auto"/>
        </w:rPr>
      </w:pPr>
    </w:p>
    <w:p>
      <w:pPr>
        <w:ind w:right="80" w:firstLine="539"/>
        <w:spacing w:after="0" w:line="258" w:lineRule="auto"/>
        <w:rPr>
          <w:sz w:val="20"/>
          <w:szCs w:val="20"/>
          <w:color w:val="auto"/>
        </w:rPr>
      </w:pPr>
      <w:r>
        <w:rPr>
          <w:rFonts w:ascii="Times New Roman" w:cs="Times New Roman" w:eastAsia="Times New Roman" w:hAnsi="Times New Roman"/>
          <w:sz w:val="18"/>
          <w:szCs w:val="18"/>
          <w:color w:val="auto"/>
        </w:rPr>
        <w:t>The overall IPE market in the U.S., based on prescription levels reported by Symphony Health, increased for the nine months ended September 30, 2026 by 3% as compared to the nine months ended September 30, 2025. Our share of the IPE market has increased to approximately 48% in the nine months ended September 30, 2026 compared to approximately 45% in the nine months ended September 30, 2025. Additionally, based on prescription levels reported by Symphony Health, VASCEPA-branded prescriptions increased by 12% in the nine months ended September 30, 2026 compared to the nine months ended September 30, 2025.</w:t>
      </w:r>
    </w:p>
    <w:p>
      <w:pPr>
        <w:spacing w:after="0" w:line="75" w:lineRule="exact"/>
        <w:rPr>
          <w:sz w:val="20"/>
          <w:szCs w:val="20"/>
          <w:color w:val="auto"/>
        </w:rPr>
      </w:pPr>
    </w:p>
    <w:p>
      <w:pPr>
        <w:ind w:firstLine="539"/>
        <w:spacing w:after="0" w:line="266" w:lineRule="auto"/>
        <w:rPr>
          <w:sz w:val="20"/>
          <w:szCs w:val="20"/>
          <w:color w:val="auto"/>
        </w:rPr>
      </w:pPr>
      <w:r>
        <w:rPr>
          <w:rFonts w:ascii="Times New Roman" w:cs="Times New Roman" w:eastAsia="Times New Roman" w:hAnsi="Times New Roman"/>
          <w:sz w:val="18"/>
          <w:szCs w:val="18"/>
          <w:color w:val="auto"/>
        </w:rPr>
        <w:t>In June 2025, we entered into the License Agreement with Recordati to commercialize VASCEPA in Europe. For the nine months ended September 30, 2026, we recorded Europe product revenue, net, of $14.1 million compared to $16.1 million during the nine months ended September 30, 2025. The decrease is primarily due to the change in business structure.</w:t>
      </w:r>
    </w:p>
    <w:p>
      <w:pPr>
        <w:spacing w:after="0" w:line="68" w:lineRule="exact"/>
        <w:rPr>
          <w:sz w:val="20"/>
          <w:szCs w:val="20"/>
          <w:color w:val="auto"/>
        </w:rPr>
      </w:pPr>
    </w:p>
    <w:p>
      <w:pPr>
        <w:ind w:right="580" w:firstLine="53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we recorded RoW product revenue, net, of $8.8 million from our six collaboration partners, comprising multiple distinct geographies, compared to $7.1 million during the nine months ended September 30, 2025.</w:t>
      </w:r>
    </w:p>
    <w:p>
      <w:pPr>
        <w:spacing w:after="0" w:line="187"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nine months ended September 30, 2026 and 2025 was $7.6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$28.2 million, respectively, a decrease of $20.6 million, or 73%. This decrease was primarily due to the recognition of a $25.0 million upfront payment resulting from the execution of the Recordati Licensing Agreement in the prior year offset by higher royalties in the current year period as a result of an increase in partner sales within their respective territories.</w:t>
      </w:r>
    </w:p>
    <w:p>
      <w:pPr>
        <w:spacing w:after="0" w:line="20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nine months ended September 30, 2026 and 2025 was $78.0 million and $66.7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 increase of $11.2 million, or 17%. This increase in cost of goods sold is due to increased product volumes.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7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nine months ended September 30, 2026 and 2025 was sourced from multiple API suppliers.</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overall gross margin on product sales for the nine months ended September 30, 2026 and 2025 was 35% and 51%, respectively. The decrease in gross margin is primarily as a result of a change in customer mix.</w:t>
      </w:r>
    </w:p>
    <w:p>
      <w:pPr>
        <w:spacing w:after="0" w:line="187" w:lineRule="exact"/>
        <w:rPr>
          <w:sz w:val="20"/>
          <w:szCs w:val="20"/>
          <w:color w:val="auto"/>
        </w:rPr>
      </w:pPr>
    </w:p>
    <w:p>
      <w:pPr>
        <w:jc w:val="both"/>
        <w:ind w:right="2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nine months ended September 30, 2026 and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$57.6 million and $94.9 million, respectively, a decrease of $37.3 million, or 39%. Selling, general and administrative expenses for the nine months ended September 30, 2026 and 2025 are summarized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320" w:type="dxa"/>
            <w:vAlign w:val="bottom"/>
            <w:gridSpan w:val="3"/>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8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36,862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-401955</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-401955</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480" w:right="480" w:hanging="383"/>
        <w:spacing w:after="0" w:line="273"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nine months ended September 30, 2026 and 2025 was $9.8 million and $36.9 million, respectively, a decrease of $27.1 million, or 73%. This decrease is primarily due to a reduction in costs associated with the Global Restructuring Plan.</w:t>
      </w:r>
    </w:p>
    <w:p>
      <w:pPr>
        <w:spacing w:after="0" w:line="1" w:lineRule="exact"/>
        <w:rPr>
          <w:rFonts w:ascii="Times New Roman" w:cs="Times New Roman" w:eastAsia="Times New Roman" w:hAnsi="Times New Roman"/>
          <w:sz w:val="18"/>
          <w:szCs w:val="18"/>
          <w:color w:val="auto"/>
        </w:rPr>
      </w:pPr>
    </w:p>
    <w:p>
      <w:pPr>
        <w:ind w:left="480" w:right="100" w:hanging="383"/>
        <w:spacing w:after="0" w:line="258"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nine months ended September 30, 2026 and 2025 was $43.5 million and $49.9 million, respectively, a decrease of $6.5 million, or 13%. This decrease is primarily due to a reduction in costs associated with the Global Restructuring Plan as well as fees associated with the ADS Ratio Change and Recordati EU Licensing Agreement incurred in the prior year. The decreases are offset by costs associated with litigation-related charges in the current year.</w:t>
      </w:r>
    </w:p>
    <w:p>
      <w:pPr>
        <w:ind w:left="480" w:hanging="383"/>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nine months ended September 30, 2026 and 2025 was $4.4 million and $8.2 million,</w:t>
      </w:r>
    </w:p>
    <w:p>
      <w:pPr>
        <w:spacing w:after="0" w:line="27" w:lineRule="exact"/>
        <w:rPr>
          <w:sz w:val="20"/>
          <w:szCs w:val="20"/>
          <w:color w:val="auto"/>
        </w:rPr>
      </w:pPr>
    </w:p>
    <w:p>
      <w:pPr>
        <w:ind w:left="480" w:right="140"/>
        <w:spacing w:after="0" w:line="250" w:lineRule="auto"/>
        <w:rPr>
          <w:sz w:val="20"/>
          <w:szCs w:val="20"/>
          <w:color w:val="auto"/>
        </w:rPr>
      </w:pPr>
      <w:r>
        <w:rPr>
          <w:rFonts w:ascii="Times New Roman" w:cs="Times New Roman" w:eastAsia="Times New Roman" w:hAnsi="Times New Roman"/>
          <w:sz w:val="18"/>
          <w:szCs w:val="18"/>
          <w:color w:val="auto"/>
        </w:rPr>
        <w:t>respectively, a decrease of $3.8 million, or 46%. Non-cash stock-based compensation expense represents the estimated costs associated with equity awards issued to internal personnel supporting our selling, general and administrative functions.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6" w:right="359" w:bottom="1440" w:gutter="0" w:footer="0" w:header="0"/>
        </w:sectPr>
      </w:pPr>
    </w:p>
    <w:bookmarkStart w:id="37" w:name="page38"/>
    <w:bookmarkEnd w:id="37"/>
    <w:p>
      <w:pPr>
        <w:jc w:val="both"/>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nine months ended September 30, 2026 and 2025 was $13.6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$14.4 million, respectively, a decrease of $0.8 million, or 5%. Research and development expenses for the nine months ended September 30, 2026 and 2025 are summarized in the table below:</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4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REDUCE-IT study and presentations </w:t>
            </w:r>
            <w:r>
              <w:rPr>
                <w:rFonts w:ascii="Times New Roman" w:cs="Times New Roman" w:eastAsia="Times New Roman" w:hAnsi="Times New Roman"/>
                <w:sz w:val="24"/>
                <w:szCs w:val="24"/>
                <w:color w:val="auto"/>
                <w:vertAlign w:val="superscript"/>
              </w:rPr>
              <w:t>(1)</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(2)</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Non-clinical research activities </w:t>
            </w:r>
            <w:r>
              <w:rPr>
                <w:rFonts w:ascii="Times New Roman" w:cs="Times New Roman" w:eastAsia="Times New Roman" w:hAnsi="Times New Roman"/>
                <w:sz w:val="24"/>
                <w:szCs w:val="24"/>
                <w:color w:val="auto"/>
                <w:vertAlign w:val="superscript"/>
              </w:rPr>
              <w:t>(3)</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(4)</w:t>
            </w:r>
          </w:p>
        </w:tc>
        <w:tc>
          <w:tcPr>
            <w:tcW w:w="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(5)</w:t>
            </w:r>
          </w:p>
        </w:tc>
        <w:tc>
          <w:tcPr>
            <w:tcW w:w="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520" w:right="10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REDUCE-IT study and publications expenses consist primarily of costs incurred to maintain the REDUCE-IT trial data as well as support provided to present at conferences and to provide data to be published in medical journals.</w:t>
      </w:r>
    </w:p>
    <w:p>
      <w:pPr>
        <w:jc w:val="both"/>
        <w:ind w:left="520" w:right="14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filing fees are primarily related to the preparation, submission and review defense of regulatory filings as well as assistance with securing and maintaining regulatory approvals for qualifying suppliers for VASCEPA in the U.S. and Europe as well as regulatory expansion in the rest of the world.</w:t>
      </w: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research activities are primarily related to ongoing experiments and analyses further exploring the potential biological activities of IPE.</w:t>
      </w:r>
    </w:p>
    <w:p>
      <w:pPr>
        <w:spacing w:after="0" w:line="49" w:lineRule="exact"/>
        <w:rPr>
          <w:rFonts w:ascii="Times New Roman" w:cs="Times New Roman" w:eastAsia="Times New Roman" w:hAnsi="Times New Roman"/>
          <w:sz w:val="18"/>
          <w:szCs w:val="18"/>
          <w:color w:val="auto"/>
        </w:rPr>
      </w:pPr>
    </w:p>
    <w:p>
      <w:pPr>
        <w:ind w:left="520" w:right="20" w:hanging="512"/>
        <w:spacing w:after="0" w:line="258"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various other activities, including other costs in collaboration with Mochida.</w:t>
      </w:r>
    </w:p>
    <w:p>
      <w:pPr>
        <w:ind w:left="520" w:right="5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10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nine months ended September 30, 2026 and 2025 was $3.4 million and $32.2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respectively. The charges in both the current and prior year are due to the implementation of the Global Restructuring Plan associated with the execution of the Recordati Licensing Agreement announced on June 24, 2025, which resulted in the elimination of commercial roles in the Company’s European operations. Refer to </w:t>
      </w:r>
      <w:r>
        <w:rPr>
          <w:rFonts w:ascii="Times New Roman" w:cs="Times New Roman" w:eastAsia="Times New Roman" w:hAnsi="Times New Roman"/>
          <w:sz w:val="18"/>
          <w:szCs w:val="18"/>
          <w:i w:val="1"/>
          <w:iCs w:val="1"/>
          <w:color w:val="auto"/>
        </w:rPr>
        <w:t>Note 2 Significant Accounting Policies</w:t>
      </w:r>
      <w:r>
        <w:rPr>
          <w:rFonts w:ascii="Times New Roman" w:cs="Times New Roman" w:eastAsia="Times New Roman" w:hAnsi="Times New Roman"/>
          <w:sz w:val="18"/>
          <w:szCs w:val="18"/>
          <w:color w:val="auto"/>
        </w:rPr>
        <w:t xml:space="preserve"> for additional information.</w:t>
      </w:r>
    </w:p>
    <w:p>
      <w:pPr>
        <w:spacing w:after="0" w:line="207"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was $7.8 million for the nine months ended September 30, 2026, compared to $8.3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Interest income, net, represents income earned on cash and investment balances.</w:t>
      </w:r>
    </w:p>
    <w:p>
      <w:pPr>
        <w:spacing w:after="0" w:line="185"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for the nine months ended September 30, 2026 and 2025 was $1.6 million and $0.4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$1.2 million, or 326%. Other income, net, increased primarily due to the recognition of the Employee Retention Credit, or ERC, awarded as part of the Coronavirus Aid, Relief, and Economic Security, or CARES, Act.</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(Provision for) benefit from income taxes. </w:t>
      </w:r>
      <w:r>
        <w:rPr>
          <w:rFonts w:ascii="Times New Roman" w:cs="Times New Roman" w:eastAsia="Times New Roman" w:hAnsi="Times New Roman"/>
          <w:sz w:val="18"/>
          <w:szCs w:val="18"/>
          <w:color w:val="auto"/>
        </w:rPr>
        <w:t>(Provision for) benefit from income taxes for the nine months ended September 30, 2026 and 2025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$1.6 million and $2.4 million, respectively. The provision for income taxes for the nine months ended September 30, 2026 was the result of income generated by our U.S. and foreign operations for which tax expense has been recognized based on a full-year estimated U.S. and foreign income tax liability.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2026, our aggregate sources of liquidity include cash and cash equivalents and restricted cash of $156.7 million and short-term investments of $166.9 million, aggregating $323.6 million. We have no indebtedness. Our cash and cash equivalents primarily include checking accounts and money market funds with original maturities of less than 90 days. Our short-term investments consist of securities that will mature in one year or less.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79"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condensed consolidated statements of cash flows, are summarized in the following table:</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5"/>
                <w:szCs w:val="15"/>
                <w:color w:val="auto"/>
              </w:rPr>
            </w:pPr>
          </w:p>
        </w:tc>
        <w:tc>
          <w:tcPr>
            <w:tcW w:w="336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340" w:type="dxa"/>
            <w:vAlign w:val="bottom"/>
            <w:vMerge w:val="continue"/>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cash and cash equivalents and restricted cash</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63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(used in) operating activities increased during the nine months ended September 30, 2026 as compared to the same period in 2025. This was primarily driven by the Global Restructuring Plan and the resulting cost savings, including the elimination of commercial roles in our European operations.</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during the nine months ended September 30, 2026 decreased primarily due to proceeds from the maturity of $152.0 million in investment grade interest-bearing instruments offset by the purchases of $149.6 million of investment grade interest-bearing instruments as compared to the same period in 2025 where proceeds from the maturity of investment grade interest-bearing instruments were $162.3 million, partially offset by $150.0 million in purchases of investment-grade interest bearing instruments.</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2026 and the same period in 2025 was primarily as a result of taxes paid on stock-based awards.</w:t>
      </w:r>
    </w:p>
    <w:p>
      <w:pPr>
        <w:spacing w:after="0" w:line="54"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On January 10, 2024, we announced plans to initiate a share repurchase program to purchase up to $50.0 million of the Company's Ordinary Shares held in the form of American Depositary Shares, or ADS. We received shareholder and UK High Court approval of the share repurchase plan in April and May 2024, respectively. The share repurchase program has a five-year approval window and can be deployed at any point until the second quarter of 2029. The Company has not commenced any share repurchases to date, but we will continue to monitor business and market conditions.</w:t>
      </w:r>
    </w:p>
    <w:p>
      <w:pPr>
        <w:spacing w:after="0" w:line="7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we had net accounts receivable of $111.6 million, and inventory of $158.9 million. We have incurred annual operating losses since our inception and, as a result, we had an accumulated deficit of $1.7 billion as of September 30, 2026.</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2026, we had cash and cash equivalents of $156.5 million and short-term investments of $166.9 million, aggregating $323.4 million. In accordance with ASC 205-40, management is required to evaluate our ability to continue as a going concern for at least one year after the date the financial statements are issued. We believe that our cash and cash equivalents and our short-term investments will be sufficient to fund our projected operations, including the share repurchase program if we were to decide to proceed with such, for at least one year from the issuance date of our unaudited condensed consolidated financial statements included elsewhere in this Quarterly Report and is adequate to support continued operations based on our current plans. We have based this estimate on assumptions that may prove to be inaccurate, including as a result of the risks discussed under “Risk Factors” in this Quarterly Report and the Annual Report and we could use our capital resources sooner than we expect or fail to achieve positive cash flow.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Except for our contractual obligations related to purchase obligations with certain supply chain contracting parties and operating leases related to real estate used as office space as set forth in Note 5 – Commitments and Contingencies and Note 9 – Leases, respectively, in our unaudited condensed consolidated financial statements included in this Quarterly Report, there have been no material changes from the contractual obligations and commitments as of December 31, 2025 previously disclosed in our Annual Report.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9" w:name="page40"/>
    <w:bookmarkEnd w:id="3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of our Annual Report.</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75"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September 30, 2026. Based on such evaluation, our principal executive officer and principal financial officer have concluded that as of September 30, 2026, our disclosure controls and procedures were effective at the reasonable assurance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During the quarter ended September 30, 2026, there were no changes in our internal control over financial reporting, as such term is defined in Rules 13a-15(f) and 15d-15(f) under the Exchange Act, that have materially affected, or are reasonably likely to materially affect, our internal control over financial reporting.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from time to time involved in lawsuits, claims, investigations, proceedings, and threats of litigation relating to intellectual property, commercial arrangements and other matters. Refer to Note 5 – Commitments and Contingencies in this Quarterly Report for any legal proceedings that became reportable during the three months ended September 30, 2026, and updates to any descriptions of previously reported legal proceedings in which there have been material developments during such period. The discussion of legal proceedings included within </w:t>
      </w:r>
      <w:r>
        <w:rPr>
          <w:rFonts w:ascii="Times New Roman" w:cs="Times New Roman" w:eastAsia="Times New Roman" w:hAnsi="Times New Roman"/>
          <w:sz w:val="18"/>
          <w:szCs w:val="18"/>
          <w:i w:val="1"/>
          <w:iCs w:val="1"/>
          <w:color w:val="auto"/>
        </w:rPr>
        <w:t>Note 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is incorporated into this Item 1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82"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risk factors presented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our Annual Report. See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for a detailed discussion of risk factors affecting the Company.</w:t>
      </w: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ADSs purchased in the third quarter of 2026 are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40" w:type="dxa"/>
            <w:vAlign w:val="bottom"/>
          </w:tcPr>
          <w:p>
            <w:pPr>
              <w:spacing w:after="0"/>
              <w:rPr>
                <w:sz w:val="15"/>
                <w:szCs w:val="15"/>
                <w:color w:val="auto"/>
              </w:rPr>
            </w:pPr>
          </w:p>
        </w:tc>
        <w:tc>
          <w:tcPr>
            <w:tcW w:w="15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76"/>
        </w:trPr>
        <w:tc>
          <w:tcPr>
            <w:tcW w:w="5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ind w:right="117"/>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ADSs Purchased </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Paid per ADS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1 - 31, 2026</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50,641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August 1 - 31, 2026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1 - 30, 2026</w:t>
            </w:r>
          </w:p>
        </w:tc>
        <w:tc>
          <w:tcPr>
            <w:tcW w:w="1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-153670</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-153670</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1" w:lineRule="exact"/>
        <w:rPr>
          <w:sz w:val="20"/>
          <w:szCs w:val="20"/>
          <w:color w:val="auto"/>
        </w:rPr>
      </w:pPr>
    </w:p>
    <w:p>
      <w:pPr>
        <w:ind w:left="380" w:right="140" w:hanging="372"/>
        <w:spacing w:after="0" w:line="223" w:lineRule="auto"/>
        <w:tabs>
          <w:tab w:leader="none" w:pos="326"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ADSs withheld to satisfy tax withholding amounts due from employees related to the receipt of ADSs which resulted from the exercise or vesting of equity awards.</w:t>
      </w:r>
    </w:p>
    <w:p>
      <w:pPr>
        <w:spacing w:after="0" w:line="3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None of our officers or directors, as defined in Rule 16a-1(f), adopted, modified, or terminated a “Rule 10b5-1 trading arrangement” or a “non-Rule 10b5-1 trading arrangement,” as defined in Item 408 of Regulation S-K, during the three months ended September 30, 2026.</w:t>
      </w: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60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80" w:type="dxa"/>
            <w:vAlign w:val="bottom"/>
            <w:gridSpan w:val="11"/>
          </w:tcPr>
          <w:p>
            <w:pPr>
              <w:jc w:val="right"/>
              <w:ind w:right="2275"/>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or furnished as part of this report.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Pr>
          <w:p>
            <w:pPr>
              <w:ind w:left="198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4100" w:type="dxa"/>
            <w:vAlign w:val="bottom"/>
            <w:gridSpan w:val="7"/>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tcBorders>
              <w:bottom w:val="single" w:sz="8" w:color="auto"/>
            </w:tcBorders>
            <w:gridSpan w:val="3"/>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4100" w:type="dxa"/>
            <w:vAlign w:val="bottom"/>
            <w:tcBorders>
              <w:bottom w:val="single" w:sz="8" w:color="auto"/>
            </w:tcBorders>
            <w:gridSpan w:val="7"/>
            <w:vMerge w:val="continue"/>
          </w:tcPr>
          <w:p>
            <w:pPr>
              <w:spacing w:after="0"/>
              <w:rPr>
                <w:sz w:val="12"/>
                <w:szCs w:val="12"/>
                <w:color w:val="auto"/>
              </w:rPr>
            </w:pPr>
          </w:p>
        </w:tc>
        <w:tc>
          <w:tcPr>
            <w:tcW w:w="4440" w:type="dxa"/>
            <w:vAlign w:val="bottom"/>
            <w:tcBorders>
              <w:bottom w:val="single" w:sz="8" w:color="auto"/>
            </w:tcBorders>
          </w:tcPr>
          <w:p>
            <w:pPr>
              <w:jc w:val="right"/>
              <w:ind w:right="2275"/>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54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90"/>
        </w:trPr>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40" w:type="dxa"/>
            <w:vAlign w:val="bottom"/>
          </w:tcPr>
          <w:p>
            <w:pPr>
              <w:spacing w:after="0"/>
              <w:rPr>
                <w:sz w:val="24"/>
                <w:szCs w:val="24"/>
                <w:color w:val="auto"/>
              </w:rPr>
            </w:pPr>
          </w:p>
        </w:tc>
        <w:tc>
          <w:tcPr>
            <w:tcW w:w="4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pursuant to Section 302 of</w:t>
            </w:r>
          </w:p>
        </w:tc>
        <w:tc>
          <w:tcPr>
            <w:tcW w:w="4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4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EE"/>
            </w:tcBorders>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40" w:type="dxa"/>
            <w:vAlign w:val="bottom"/>
          </w:tcPr>
          <w:p>
            <w:pPr>
              <w:spacing w:after="0"/>
              <w:rPr>
                <w:sz w:val="24"/>
                <w:szCs w:val="24"/>
                <w:color w:val="auto"/>
              </w:rPr>
            </w:pPr>
          </w:p>
        </w:tc>
        <w:tc>
          <w:tcPr>
            <w:tcW w:w="4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Senior Vice President and Chief Financial</w:t>
            </w: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Officer (Principal Financial Officer and Principal Accounting</w:t>
            </w:r>
          </w:p>
        </w:tc>
        <w:tc>
          <w:tcPr>
            <w:tcW w:w="4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Section 302 of Sarbanes-Oxley Act of</w:t>
            </w:r>
          </w:p>
        </w:tc>
        <w:tc>
          <w:tcPr>
            <w:tcW w:w="4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4"/>
              </w:rPr>
              <w:t>2002</w:t>
            </w:r>
          </w:p>
        </w:tc>
        <w:tc>
          <w:tcPr>
            <w:tcW w:w="17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40" w:type="dxa"/>
            <w:vAlign w:val="bottom"/>
          </w:tcPr>
          <w:p>
            <w:pPr>
              <w:spacing w:after="0"/>
              <w:rPr>
                <w:sz w:val="24"/>
                <w:szCs w:val="24"/>
                <w:color w:val="auto"/>
              </w:rPr>
            </w:pPr>
          </w:p>
        </w:tc>
        <w:tc>
          <w:tcPr>
            <w:tcW w:w="4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and Senior Vice President and</w:t>
            </w:r>
          </w:p>
        </w:tc>
        <w:tc>
          <w:tcPr>
            <w:tcW w:w="4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Chief Financial Officer (Principal Financial Officer and</w:t>
            </w:r>
          </w:p>
        </w:tc>
        <w:tc>
          <w:tcPr>
            <w:tcW w:w="4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Officer) pursuant to Section 906 of</w:t>
            </w:r>
          </w:p>
        </w:tc>
        <w:tc>
          <w:tcPr>
            <w:tcW w:w="4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4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gridSpan w:val="2"/>
            <w:shd w:val="clear" w:color="auto" w:fill="0000FF"/>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w:t>
            </w:r>
          </w:p>
        </w:tc>
        <w:tc>
          <w:tcPr>
            <w:tcW w:w="140" w:type="dxa"/>
            <w:vAlign w:val="bottom"/>
          </w:tcPr>
          <w:p>
            <w:pPr>
              <w:spacing w:after="0"/>
              <w:rPr>
                <w:sz w:val="24"/>
                <w:szCs w:val="24"/>
                <w:color w:val="auto"/>
              </w:rPr>
            </w:pPr>
          </w:p>
        </w:tc>
        <w:tc>
          <w:tcPr>
            <w:tcW w:w="4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w:t>
            </w:r>
          </w:p>
        </w:tc>
        <w:tc>
          <w:tcPr>
            <w:tcW w:w="140" w:type="dxa"/>
            <w:vAlign w:val="bottom"/>
          </w:tcPr>
          <w:p>
            <w:pPr>
              <w:spacing w:after="0"/>
              <w:rPr>
                <w:sz w:val="24"/>
                <w:szCs w:val="24"/>
                <w:color w:val="auto"/>
              </w:rPr>
            </w:pPr>
          </w:p>
        </w:tc>
        <w:tc>
          <w:tcPr>
            <w:tcW w:w="4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780" w:hanging="772"/>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101.DE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260" w:type="dxa"/>
            <w:vAlign w:val="bottom"/>
          </w:tcPr>
          <w:p>
            <w:pPr>
              <w:spacing w:after="0"/>
              <w:rPr>
                <w:sz w:val="20"/>
                <w:szCs w:val="20"/>
                <w:color w:val="auto"/>
              </w:rPr>
            </w:pPr>
          </w:p>
        </w:tc>
      </w:tr>
      <w:tr>
        <w:trPr>
          <w:trHeight w:val="31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260" w:type="dxa"/>
            <w:vAlign w:val="bottom"/>
          </w:tcPr>
          <w:p>
            <w:pPr>
              <w:spacing w:after="0"/>
              <w:rPr>
                <w:sz w:val="20"/>
                <w:szCs w:val="20"/>
                <w:color w:val="auto"/>
              </w:rPr>
            </w:pPr>
          </w:p>
        </w:tc>
      </w:tr>
      <w:tr>
        <w:trPr>
          <w:trHeight w:val="31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720" w:type="dxa"/>
            <w:vAlign w:val="bottom"/>
          </w:tcPr>
          <w:p>
            <w:pPr>
              <w:spacing w:after="0"/>
              <w:rPr>
                <w:sz w:val="20"/>
                <w:szCs w:val="20"/>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260" w:type="dxa"/>
            <w:vAlign w:val="bottom"/>
          </w:tcPr>
          <w:p>
            <w:pPr>
              <w:spacing w:after="0"/>
              <w:rPr>
                <w:sz w:val="20"/>
                <w:szCs w:val="20"/>
                <w:color w:val="auto"/>
              </w:rPr>
            </w:pPr>
          </w:p>
        </w:tc>
      </w:tr>
      <w:tr>
        <w:trPr>
          <w:trHeight w:val="31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72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(formatted as inline XBRL with applicable taxonomy</w:t>
            </w:r>
          </w:p>
        </w:tc>
        <w:tc>
          <w:tcPr>
            <w:tcW w:w="126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extension information contained in Exhibits 101.)</w:t>
            </w:r>
          </w:p>
        </w:tc>
        <w:tc>
          <w:tcPr>
            <w:tcW w:w="12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2" w:name="page43"/>
    <w:bookmarkEnd w:id="4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52"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Aaron Berg</w:t>
      </w:r>
    </w:p>
    <w:p>
      <w:pPr>
        <w:spacing w:after="0" w:line="22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52"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Peter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Peter Fishman</w:t>
      </w:r>
    </w:p>
    <w:p>
      <w:pPr>
        <w:spacing w:after="0" w:line="22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Berg, certify that:</w:t>
      </w:r>
    </w:p>
    <w:p>
      <w:pPr>
        <w:spacing w:after="0" w:line="117" w:lineRule="exact"/>
        <w:rPr>
          <w:sz w:val="20"/>
          <w:szCs w:val="20"/>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550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  Aaron Berg</w:t>
            </w:r>
          </w:p>
        </w:tc>
      </w:tr>
      <w:tr>
        <w:trPr>
          <w:trHeight w:val="191"/>
        </w:trPr>
        <w:tc>
          <w:tcPr>
            <w:tcW w:w="574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Aaron Berg</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Fishman, certify that:</w:t>
      </w:r>
    </w:p>
    <w:p>
      <w:pPr>
        <w:spacing w:after="0" w:line="117"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Fishman</w:t>
            </w:r>
          </w:p>
        </w:tc>
      </w:tr>
      <w:tr>
        <w:trPr>
          <w:trHeight w:val="191"/>
        </w:trPr>
        <w:tc>
          <w:tcPr>
            <w:tcW w:w="574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Peter Fishman</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1195"/>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and Section 1350 of Chapter 63 of Title 18 of the United States Code (18 U.S.C. §1350), Aaron Berg, President and Chief Executive Officer (Principal Executive Officer) of Amarin Corporation plc (the “Company”), and Peter Fishman, Senior Vice President and Chief Financial Officer (Principal Financial Officer and Principal Accounting Officer) of the Company, each hereby certifies that, to the best of his knowledge:</w:t>
      </w:r>
    </w:p>
    <w:p>
      <w:pPr>
        <w:spacing w:after="0" w:line="180" w:lineRule="exact"/>
        <w:rPr>
          <w:sz w:val="20"/>
          <w:szCs w:val="20"/>
          <w:color w:val="auto"/>
        </w:rPr>
      </w:pPr>
    </w:p>
    <w:p>
      <w:pPr>
        <w:ind w:right="140" w:firstLine="8"/>
        <w:spacing w:after="0" w:line="282" w:lineRule="auto"/>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2026, to which this Certification is attached as Exhibit 32.1 (the “Quarterly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480" w:firstLine="8"/>
        <w:spacing w:after="0" w:line="282" w:lineRule="auto"/>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378" w:lineRule="exact"/>
        <w:rPr>
          <w:sz w:val="20"/>
          <w:szCs w:val="20"/>
          <w:color w:val="auto"/>
        </w:rPr>
      </w:pPr>
    </w:p>
    <w:p>
      <w:pPr>
        <w:ind w:left="5740"/>
        <w:spacing w:after="0"/>
        <w:tabs>
          <w:tab w:leader="none" w:pos="60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7"/>
          <w:szCs w:val="17"/>
          <w:color w:val="auto"/>
        </w:rPr>
        <w:t>Aaron Berg</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740"/>
        <w:spacing w:after="0"/>
        <w:tabs>
          <w:tab w:leader="none" w:pos="6080" w:val="left"/>
        </w:tabs>
        <w:rPr>
          <w:sz w:val="20"/>
          <w:szCs w:val="20"/>
          <w:color w:val="auto"/>
        </w:rPr>
      </w:pPr>
      <w:r>
        <w:rPr>
          <w:rFonts w:ascii="Times New Roman" w:cs="Times New Roman" w:eastAsia="Times New Roman" w:hAnsi="Times New Roman"/>
          <w:sz w:val="18"/>
          <w:szCs w:val="18"/>
          <w:color w:val="auto"/>
        </w:rPr>
        <w:t>/s/</w:t>
        <w:tab/>
        <w:t>Peter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8"/>
          <w:szCs w:val="18"/>
          <w:color w:val="auto"/>
        </w:rPr>
        <w:t>Peter Fishman</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4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lvl w:ilvl="1">
      <w:lvlJc w:val="left"/>
      <w:lvlText w:val="(%2)"/>
      <w:numFmt w:val="decimal"/>
      <w:start w:val="1"/>
    </w:lvl>
  </w:abstractNum>
  <w:abstractNum w:abstractNumId="5">
    <w:nsid w:val="7FDCC233"/>
    <w:multiLevelType w:val="hybridMultilevel"/>
    <w:lvl w:ilvl="0">
      <w:lvlJc w:val="left"/>
      <w:lvlText w:val="(%1)"/>
      <w:numFmt w:val="decimal"/>
      <w:start w:val="5"/>
    </w:lvl>
    <w:lvl w:ilvl="1">
      <w:lvlJc w:val="left"/>
      <w:lvlText w:val="%2"/>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9"/>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5"/>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2026-10-28T06:08:35Z</dcterms:created>
  <dcterms:modified xsi:type="dcterms:W3CDTF">2026-10-28T06:08:35Z</dcterms:modified>
</cp:coreProperties>
</file>